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專業訓練人員職能評估方法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評估架構、判準與可填用紀錄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專業訓練人員職能評估方法等證明。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先確認職能要求及證據來源，再對照實際功能角色的能力表現；用於人員發展與課程品質管理，不代替資格證明。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評估面向與行為判準、證據核驗規則、空白評估表及待補資料。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實際人員名冊、職務分工、學經歷與證照、聘任或合作文件、已執行評估及改善紀錄。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一、目的、範圍與基本原則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本方法供協會規劃專業訓練人員的職能評估。評估對象、職能要求及適用課程均應先經協會確認；未填入實際人員資料前，本文只是方法工作稿。職能評估結果不等同法定資格、專業證照或主管機關認可。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以課程任務和實際工作要求界定職能，不以職稱或自述直接判定能力。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每項判定至少記錄觀察情境、評量工具、證據位置及評估日期；沒有原始證據即列待查。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課程內容涉及健康教育或傳統整復推拿技術時，另檢核安全、溝通及非醫療界線；不得推論療效。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同一人可依不同課程或任務分別評估；避免把單一表現擴大為全面能力結論。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二、功能角色與職能面向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952"/>
        <w:gridCol w:w="5400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功能角色（非現職名單）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職能面向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可接受的觀察或證據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課程規劃與設計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需求辨識、職能分析、目標對應、課程架構與評量設計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需求資料分析、設計文件、版本紀錄、審查意見及修訂軌跡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授課或技術示範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內容正確、教學表達、示範安全、學習檢核及轉介界線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資格原件核對、教案、試教觀察、評量規準、課後檢討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訓練行政與學習支持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招生資訊、學員聯繫、紀錄管理、個資保護及異常處理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流程紀錄、表單版次、存取權限、學習支持與異常處理紀錄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品質檢討與改進</w:t>
            </w:r>
          </w:p>
        </w:tc>
        <w:tc>
          <w:tcPr>
            <w:tcW w:type="dxa" w:w="295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資料彙整、問題分析、改善追蹤與版本控管</w:t>
            </w:r>
          </w:p>
        </w:tc>
        <w:tc>
          <w:tcPr>
            <w:tcW w:type="dxa" w:w="54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分析表、會議決議、改善責任與期限、完成後覆核資料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三、行為判準與評估方式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4680"/>
        <w:gridCol w:w="3816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判定層級（建議）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可觀察表現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判定與處理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尚未觀察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尚無足以判斷的直接證據，或工作任務尚未確認。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列待補，不得以空白推定合格或不合格。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需支持完成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在提示、共同作業或複核下完成指定任務；應記錄支持方式。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安排指導、補充訓練或流程支持，再依同一規準複核。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可依規準完成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能依已確認的流程或規準完成任務，並留下可查核紀錄。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保存觀察證據；依課程風險及職務範圍決定授權。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可說明並協助他人</w:t>
            </w:r>
          </w:p>
        </w:tc>
        <w:tc>
          <w:tcPr>
            <w:tcW w:type="dxa" w:w="468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能說明判斷理由、辨識例外並協助檢查他人產出。</w:t>
            </w:r>
          </w:p>
        </w:tc>
        <w:tc>
          <w:tcPr>
            <w:tcW w:type="dxa" w:w="381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仍須確認適用範圍及證據，不擴張為未取得的資格認定。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20"/>
        </w:rPr>
        <w:t>可採用文件查核、結構式訪談、工作樣本、情境題、課程設計審查、試教或現場觀察。各方法須在執行前定義評估者、判準、紀錄欄位與複核方式。</w:t>
      </w: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四、評估流程與控制點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112"/>
        <w:gridCol w:w="3528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步驟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執行重點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必要紀錄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確認任務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界定課程、功能角色、責任界線及適用職能。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任務說明、文件版次、審查者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蒐集證據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核對證明原件或可回查來源，取得必要同意。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來源、取得日期、核驗方式、限制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依規準評估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逐項記錄觀察事實；區分已證實、待查及不適用。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工具版次、事實紀錄、判定理由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複核與回饋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對關鍵職能或不同意見安排第二人複核。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複核意見、分歧處理、告知紀錄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發展與追蹤</w:t>
            </w:r>
          </w:p>
        </w:tc>
        <w:tc>
          <w:tcPr>
            <w:tcW w:type="dxa" w:w="511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提出支持方式、責任功能及回看條件；完成後再留證。</w:t>
            </w:r>
          </w:p>
        </w:tc>
        <w:tc>
          <w:tcPr>
            <w:tcW w:type="dxa" w:w="35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行動項目、期限、追蹤證據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五、單人評估表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920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填寫內容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對象代碼／功能角色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[待補；未取得同意前不填姓名]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課程或任務及版本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[待補；附核定文件位置]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職能項目與行為判準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[逐項列示來源、適用範圍與可觀察標準]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評估工具與日期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[待補；工具版次、評估情境、評估者功能角色]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觀察事實與證據位置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[只記錄可驗證事實；附原始檔名、頁碼或系統位置]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判定及理由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[尚未觀察／需支持完成／可依規準完成／可說明並協助他人；逐項說明]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發展行動與複核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[待補；責任功能、完成條件、期限、複核證據]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本人回饋／複核</w:t>
            </w:r>
          </w:p>
        </w:tc>
        <w:tc>
          <w:tcPr>
            <w:tcW w:type="dxa" w:w="79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[待補；日期與意見]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六、升格為真實紀錄前核對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取得真實人員與職務資料並完成必要個資告知及授權。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以原件核對資格、年資或第三方證明；不得以本表取代證明。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填入真實評估日期、工具、評估者、觀察事實及複核結果。</w:t>
      </w:r>
    </w:p>
    <w:p>
      <w:pPr>
        <w:pStyle w:val="ListBullet"/>
        <w:keepLines/>
        <w:spacing w:after="30" w:line="247" w:lineRule="auto"/>
        <w:ind w:left="331" w:hanging="173"/>
      </w:pPr>
      <w:r>
        <w:rPr>
          <w:rFonts w:ascii="Microsoft JhengHei" w:hAnsi="Microsoft JhengHei" w:eastAsia="Microsoft JhengHei"/>
          <w:b w:val="0"/>
          <w:color w:val="24364B"/>
          <w:sz w:val="19"/>
        </w:rPr>
        <w:t>移除與實際範圍不符的職能項目，依核定版次保存與追蹤。</w:t>
      </w:r>
    </w:p>
    <w:p>
      <w:pPr>
        <w:pStyle w:val="Heading2"/>
      </w:pPr>
      <w:r>
        <w:t>I06-E02 職能資料來源與判讀追溯表</w:t>
      </w:r>
    </w:p>
    <w:p>
      <w:pPr>
        <w:spacing w:after="80"/>
      </w:pPr>
      <w:r>
        <w:t>記錄職能需求依據、使用欄位、判讀規則及支持結論的原始證據。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</w:trPr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查核項目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資料來源／版本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欄位／指標／判準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判讀結果／待補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原始證據位置</w:t>
            </w:r>
          </w:p>
        </w:tc>
        <w:tc>
          <w:tcPr>
            <w:tcW w:type="dxa" w:w="1668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覆核／後續處理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職能需求資料來源與適用期間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行為指標與標準的核定依據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現況及差距判讀方法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  <w:tr>
        <w:trPr>
          <w:cantSplit/>
        </w:trPr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差距對應的發展措施與驗證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[原始來源／版本待填]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[欄位、指標或判斷規則待填]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[待補／待核定／不適用及理由]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[證據名稱與路徑待填]</w:t>
            </w:r>
          </w:p>
        </w:tc>
        <w:tc>
          <w:tcPr>
            <w:tcW w:type="dxa" w:w="1668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[覆核人、日期與處置待填]</w:t>
            </w:r>
          </w:p>
        </w:tc>
      </w:tr>
    </w:tbl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對應查核項目：專業訓練人員職能評估方法等證明。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2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pPr>
        <w:pStyle w:val="Heading1"/>
        <w:keepNext/>
      </w:pPr>
      <w:r>
        <w:t>七、職能行為指標、標準差距與雷達圖資料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以下等級是供協會審議的建議尺度，正式使用前須依實際職務、規範及課程核定。沒有觀察資料時一律填「未觀察」，不得給分或推定具備資格。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建議等級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可觀察標準（須按任務校準）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處理方式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1｜尚未觀察／無證據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沒有足以判定的直接證據，或任務／標準尚未確認。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列待補，不算達標也不算不合格。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2｜需指導完成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在提示或共同作業下完成指定任務；支持程度需記錄。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安排指導與再次觀察。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3｜依核定規準完成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在明確情境下依規準完成並留下可追溯證據。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由適當功能複核適用範圍。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4｜能判讀例外並說明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可說明理由、辨識例外並指出何時停止／求助。</w:t>
            </w:r>
          </w:p>
        </w:tc>
        <w:tc>
          <w:tcPr>
            <w:tcW w:type="dxa" w:w="3336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不得擴張成法定資格或專業認證。</w:t>
            </w:r>
          </w:p>
        </w:tc>
      </w:tr>
    </w:tbl>
    <w:p>
      <w:pPr>
        <w:keepNext/>
        <w:spacing w:before="100" w:after="60"/>
      </w:pPr>
      <w:r>
        <w:rPr>
          <w:b/>
          <w:color w:val="1F4E78"/>
          <w:sz w:val="22"/>
        </w:rPr>
        <w:t>職能差距評估與發展追蹤矩陣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課程設計；可觀察行為：[待核定]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安全示範與界線；可觀察行為：[待核定]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標準來源／版次：[待核定規範／資格]；目標級別：[待核定]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keepNext/>
        <w:pageBreakBefore/>
        <w:spacing w:before="100" w:after="60"/>
      </w:pPr>
      <w:r>
        <w:rPr>
          <w:b/>
          <w:color w:val="1F4E78"/>
          <w:sz w:val="21"/>
        </w:rPr>
        <w:t>職能差距評估與發展追蹤矩陣（續）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職能／任務＋可觀察行為指標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應達標準／來源／版本／目標級別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現況級別／來源／直接證據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差距（目標－現況）／分析／支持</w:t>
            </w:r>
          </w:p>
        </w:tc>
        <w:tc>
          <w:tcPr>
            <w:tcW w:type="dxa" w:w="2002"/>
            <w:vAlign w:val="center"/>
            <w:shd w:fill="1F4E78"/>
          </w:tcPr>
          <w:p>
            <w:r>
              <w:rPr>
                <w:b/>
                <w:color w:val="FFFFFF"/>
              </w:rPr>
              <w:t>發展措施／責任期限／驗證方式／證據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學習支持與評量；可觀察行為：[待核定]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r>
              <w:t>資料管理與品質改善；可觀察行為：[待核定]</w:t>
            </w:r>
          </w:p>
        </w:tc>
        <w:tc>
          <w:tcPr>
            <w:tcW w:type="dxa" w:w="2002"/>
            <w:vAlign w:val="center"/>
          </w:tcPr>
          <w:p>
            <w:r>
              <w:t>標準來源／版次：[待核定]；目標級別：[待核定]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現況級別：[待評估]</w:t>
              <w:br/>
              <w:t>資料來源／直接證據：[待填]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0" w:line="240" w:lineRule="auto"/>
            </w:pPr>
            <w:r>
              <w:rPr>
                <w:b w:val="0"/>
                <w:color w:val="24364B"/>
                <w:sz w:val="18"/>
              </w:rPr>
              <w:t>數值差距：[待計算]</w:t>
              <w:br/>
              <w:t>差距原因／支持方式：[待填]</w:t>
            </w:r>
          </w:p>
        </w:tc>
        <w:tc>
          <w:tcPr>
            <w:tcW w:type="dxa" w:w="2002"/>
            <w:vAlign w:val="center"/>
          </w:tcPr>
          <w:p>
            <w:r>
              <w:t>發展措施／責任功能／期限：[待補]；驗證工具、時點與證據位置：[待核定]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2"/>
        </w:rPr>
        <w:t>職能差距雷達圖資料模板（圖為空白結構）</w:t>
      </w:r>
    </w:p>
    <w:p>
      <w:pPr>
        <w:spacing w:before="60" w:after="60"/>
        <w:jc w:val="center"/>
      </w:pPr>
      <w:r>
        <w:drawing>
          <wp:inline xmlns:a="http://schemas.openxmlformats.org/drawingml/2006/main" xmlns:pic="http://schemas.openxmlformats.org/drawingml/2006/picture">
            <wp:extent cx="4389120" cy="3291840"/>
            <wp:docPr id="1" name="Picture 1" descr="空白職能評估雷達圖，尚無實測分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31_RADAR_TEMPL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達標率＝有直接證據且達到事前核定標準的職能項數 ÷ 實際評估職能項數；未觀察項目須另列，不納入已評估項。若職能資料不足或分母為 0，填「無法判定」，不得產生雷達面積或總分。跨評估者差異應記錄並複核。</w:t>
      </w:r>
    </w:p>
    <w:p>
      <w:pPr>
        <w:spacing w:before="40" w:after="100"/>
      </w:pPr>
      <w:r>
        <w:rPr>
          <w:rFonts w:ascii="Microsoft JhengHei" w:hAnsi="Microsoft JhengHei" w:eastAsia="Microsoft JhengHei"/>
        </w:rPr>
        <w:t>職能落差＝目標等級－現況等級；僅在目標標準已核定且現況有直接證據時計算。正值表示尚有差距，0 為達標；負值須覆核標準與資料。未核定或未評估時列待補，不以 0 代填。</w:t>
      </w:r>
    </w:p>
    <w:p>
      <w:pPr>
        <w:spacing w:after="80"/>
      </w:pPr>
      <w:r>
        <w:t>以下為可直接使用的補充工作表。只填入可回查來源或實際紀錄；尚未取得或核定的內容維持待補。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專業訓練人員職能評估方法</dc:title>
  <dc:subject>專業訓練人員職能評估方法等證明。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