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六、需求調查結果、分群限制與課程決策閉環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本文件是客戶及潛在受訓者需求調查方案。沒有實際回覆時只保留問卷及分析欄；不得把問題設計、空白欄或少數意見說成需求結論。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調查構面／題目ID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有效作答數／分母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結果／差異與限制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需求或能力差距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課程／非訓練決定與證據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工作任務及能力需求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[待實測；列缺答與分群範圍]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[待實測；不推論醫療需求]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[待實測；維持安全及非醫療界線]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其他多元課程需求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[只按真實回覆與資源判斷]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結果指標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資料品質／解釋限制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有效回覆率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有效問卷份數 ÷ 實際邀請數；分母需同一邀請範圍。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記錄拒答、重複、缺答及排除理由。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需求平均分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有效量表分數總和 ÷ 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僅適用同一量尺；列各選項分布及樣本數。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高需求比例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事前定義為高需求的分數人數 ÷ 該題有效作答數。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門檻需事前核定；不可事後挑門檻。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覆蓋率／差距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收到有效資料的預定對象數 ÷ 預定涵蓋對象數；差距依目標口徑計。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說明母體、抽樣、樣本不足與代表性限制。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實績－目標差距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差距＝實績－目標。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實績與目標須採相同指標、單位、期間及母體範圍；尚未取得時標示待補，差距方向依指標定義判讀。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前後改善率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改善率＝（改善後－改善前）÷改善前 × 100%。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前後資料須使用相同工具、量尺、對象及口徑；基準缺漏或為 0 時列 N/A 並說明，不得推估或補造數值。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分群僅採事前核定、非識別且樣本足夠的欄位；可能識別個人或資料不足時標 N/A 並說明。每項課程決定須保留採納／未採納理由、責任功能、期限及下一次驗證資料。追溯：需求題目 → 原始回覆 → 統計口徑 → 能力差距 → 課程設計決定 → 後續驗證。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圖表架構｜訓練需求定期趨勢圖（空白架構）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374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3_訓練需求趨勢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核心指標實測、差距與改善紀錄表</w:t>
      </w:r>
    </w:p>
    <w:p>
      <w:r>
        <w:t>只有取得同口徑的實際調查資料後填寫；基準、實績及目標須說明期間與母體，資料不足時保留待補。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指標／公式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實績／分子分母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差距／原因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改善行動／責任／期限／再驗證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[指標ID／口徑待核定]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[期間、來源及數值待補]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[實測值、分子／分母及缺失待補]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[核定目標待補]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[依同一口徑計算；原因待分析]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[待審議；責任、期限及下一期指標待核定]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[指標ID／口徑待核定]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[期間、來源及數值待補]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[實測值、分子／分母及缺失待補]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[核定目標待補]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[資料不足時填無法判定]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[待審議；責任、期限及下一期指標待核定]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調查母體與計畫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對象、母體、抽樣／邀請方式、期間、工具版次及個資告知均有核定及可回查依據。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□不適用；計畫／工具版：[待填]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原始資料及有效分母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回覆可回查；邀請、回收、有效、缺答、重複及排除數符合事前規則。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□不適用；原始資料／計算表：[待填]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指標、趨勢及限制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公式、量尺、母體與期間一致；無兩期以上可比實測資料時圖表保持空白，不推論趨勢。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□不適用；口徑／圖表來源：[待填]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需求差距與課程決策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需求、能力差距、課程或非訓練處置有證據、採納理由、責任及期限。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下一期驗證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列出下一期衡量指標、目標核定、時點、資料來源及可比較條件。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□不適用；驗證計畫：[待填]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