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職能分析方法檢討與改善紀錄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檢討觸發、方法適切性、變更審查與追蹤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對相關職能分析及運用的方法均能適時檢討隨時改進。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在需求、課程、工作任務或評量資料變動時，檢查職能分析工具是否仍適切；記錄問題、調整理由、核定及後續效果。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檢討項目、決策流程、方法版次比較及改善追蹤欄。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既有職能分析方法、歷次使用原始資料、檢討會議、已核定變更與後續使用紀錄。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一、檢討目的與啟動條件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本紀錄用於確認職能分析方法與運用方式是否能支持課程設計，並保留修訂理由與效果追蹤。協會的檢討週期尚待核定；在方法正式採用前，不能宣稱已定期檢討或已完成改善。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96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觸發情況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檢視重點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可供查核的輸入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需求或服務對象有變化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現有題目及職能項目是否仍涵蓋實際任務。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已取得的需求資料、訪談摘要或正式任務說明。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課程或評量方式修訂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目標、工具及證據是否仍能對應職能標準。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課程版次、評量工具及使用紀錄。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資料品質出現疑義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缺答、偏誤、判定分歧或工具可理解性。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原始資料、異常紀錄及複核意見。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安全、界線或流程問題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是否需暫停使用、補充告知或調整流程。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異常處理紀錄、風險分析及相關規範查核。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依核定週期回顧</w:t>
            </w:r>
          </w:p>
        </w:tc>
        <w:tc>
          <w:tcPr>
            <w:tcW w:type="dxa" w:w="40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檢視方法是否有足夠資料及持續適用性。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[待核定：週期及權責功能]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pageBreakBefore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二、方法適切性檢討表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328"/>
        <w:gridCol w:w="309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檢討面向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判斷問題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判讀及證據位置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工作關聯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分析項目是否對應真實任務與課程需求？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可觀察性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職能定義及判準是否能被不同評估者理解？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證據充分性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資料來源、樣本範圍及缺漏是否足以支持結論？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一致性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相似情境的判讀差異是否有明確處理規則？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可用性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蒐集與分析方式是否可執行且不造成不必要負擔？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公平與保護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題目、評量及資料處理是否避免不必要偏誤或敏感資料？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實際運用</w:t>
            </w:r>
          </w:p>
        </w:tc>
        <w:tc>
          <w:tcPr>
            <w:tcW w:type="dxa" w:w="53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分析結果是否能追溯到課程目標、評量及非訓練措施？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三、檢討決策及變更紀錄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檢討案由／範圍／資料期間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方法名稱及目前版次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[待補；附文件位置]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主要發現及證據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[只寫已查核的事實，附來源位置]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處置選項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□維持　□修正　□暫停　□替代；理由：[待填]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變更內容及影響文件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[待補；逐項列版本、表單、課程或評量工具]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審查／核定功能與日期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[待核定；不預填姓名、日期或決議]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追蹤條件及複核證據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[待補；何時、用何資料確認變更適切]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四、方法版本履歷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2520"/>
        <w:gridCol w:w="266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版本／日期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變更原因與來源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變更項目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核定與追蹤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對應查核項目：對相關職能分析及運用的方法均能適時檢討隨時改進。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五、方法變更控制與改善效果再驗證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方法檢討不能只留下「已修訂」。每次須指出觸發資料、現方法限制、選擇維持／修正／暫停的理由，以及後續如何確認新方法可用。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檢討觸發／原始資料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方法版本與問題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決定及未採納理由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責任／期限／核准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再驗證指標／證據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需求或工作任務改變：[來源待填]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[工具版次、偏差、受影響對象]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□維持 □修正 □暫停 □替代；理由：[待填]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[後續資料待產生]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評估者判讀分歧：[來源待填]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[差異及範圍]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資料缺漏或安全問題：[來源待填]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[限制與風險]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[必要停用條件]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方法檢討完成率＝已完成且有證據的到期檢討數 ÷ 到期應檢討數。修訂效果須按修訂前後可比資料判讀；改善率公式只在基準大於 0 且口徑一致時使用，否則報告絕對變化或不適用。版本履歷需連到核定、受影響表單、通知及實際使用回看。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圖表架構｜職能分析方法檢討雷達圖（空白架構）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5_職能分析方法檢討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I07-E03 訓練方法檢討—決定—驗證追溯表</w:t>
      </w:r>
    </w:p>
    <w:p>
      <w:pPr>
        <w:keepNext/>
        <w:spacing w:after="80"/>
      </w:pPr>
      <w:r>
        <w:t>追溯方法檢討觸發、依據、適切性判讀、維持／修正／暫停決定及後續驗證；未發生事項保留待填。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觸發情況與課程情境</w:t>
            </w:r>
          </w:p>
        </w:tc>
        <w:tc>
          <w:tcPr>
            <w:tcW w:type="dxa" w:w="3336"/>
            <w:vAlign w:val="center"/>
          </w:tcPr>
          <w:p>
            <w:r>
              <w:t>回查需求、課程、任務或評量變動及適用版本。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□不適用；觸發來源／版本：[待填]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方法版本與原始資料</w:t>
            </w:r>
          </w:p>
        </w:tc>
        <w:tc>
          <w:tcPr>
            <w:tcW w:type="dxa" w:w="3336"/>
            <w:vAlign w:val="center"/>
          </w:tcPr>
          <w:p>
            <w:r>
              <w:t>記錄現行方法版本、資料期間、樣本、工具及資料限制。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□不適用；原始資料／位置：[待填]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適切性、風險與限制</w:t>
            </w:r>
          </w:p>
        </w:tc>
        <w:tc>
          <w:tcPr>
            <w:tcW w:type="dxa" w:w="3336"/>
            <w:vAlign w:val="center"/>
          </w:tcPr>
          <w:p>
            <w:r>
              <w:t>依目標、可觀察性、證據充分性、安全及界線作判讀。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□不適用；判讀／異議／覆核：[待填]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維持、修正或暫停決定</w:t>
            </w:r>
          </w:p>
        </w:tc>
        <w:tc>
          <w:tcPr>
            <w:tcW w:type="dxa" w:w="3336"/>
            <w:vAlign w:val="center"/>
          </w:tcPr>
          <w:p>
            <w:r>
              <w:t>記錄選擇、理由、未採納選項、授權依據及影響。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□不適用；決議／授權／日期：[待填]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責任、期限與再驗證</w:t>
            </w:r>
          </w:p>
        </w:tc>
        <w:tc>
          <w:tcPr>
            <w:tcW w:type="dxa" w:w="3336"/>
            <w:vAlign w:val="center"/>
          </w:tcPr>
          <w:p>
            <w:r>
              <w:t>指定責任功能、完成條件、版本更新及下一次可比驗證。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□不適用；責任／期限／證據：[待填]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方法版本、觸發原因及適用範圍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記錄檢討方法版次、適用情境及觸發來源；不以未確認歷史代替。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原始證據、限制及異議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核對原始證據、樣本、工具限制、異議與資料缺口。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維持、修正或停用決定理由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依證據記錄維持、修正或停用及理由；未核定不得當作生效。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責任功能、期限與再驗證證據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列出責任功能、完成期限、版本更新及再驗證依據。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職能行為指標與差距分析表</w:t>
      </w:r>
    </w:p>
    <w:p>
      <w:pPr>
        <w:spacing w:after="80"/>
      </w:pPr>
      <w:r>
        <w:t>以原始資料比較核定標準與現況，記錄差距、發展措施及後續驗證；沒有資料時不推定現況。</w:t>
      </w:r>
    </w:p>
    <w:p>
      <w:pPr>
        <w:spacing w:after="80"/>
      </w:pPr>
      <w:r>
        <w:rPr>
          <w:rFonts w:ascii="Microsoft JhengHei" w:hAnsi="Microsoft JhengHei" w:eastAsia="Microsoft JhengHei"/>
        </w:rPr>
        <w:t>職能落差＝目標等級－現況等級；僅在目標標準已核定且現況有直接證據時計算。達標率＝達標職能數 ÷ 評估職能數；達標職能須符合核定目標等級且有有效證據，未評估項目不計入，分母為 0 時列 N/A。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職能／任務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可觀察行為指標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應達標準／依據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現況資料／來源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差距判定／分析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發展措施／責任期限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驗證方式／證據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[職能／工作任務待核定]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[可觀察行為指標待核定]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[應達標準及依據待核定]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[原始評量／訪談資料待取得]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[以同一口徑判定差距；待分析]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[發展措施、責任及期限待議]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[驗證工具、時點及證據待核定]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[職能／工作任務待核定]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[可觀察行為指標待核定]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[應達標準及依據待核定]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[原始評量／訪談資料待取得]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[以同一口徑判定差距；待分析]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[發展措施、責任及期限待議]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[驗證工具、時點及證據待核定]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職能分析方法檢討與改善紀錄</dc:title>
  <dc:subject>對相關職能分析及運用的方法均能適時檢討隨時改進。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