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R04</w:t>
            </w: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p>
      <w:pPr/>
      <w:r>
        <w:t>評選計算核對：加權總分＝各項評分×事前核定權重後加總；由文件0046引用逐案分數、權重及原始證據，核對計算能否重現。履約達成率＝完成且驗證的履約KPI數 ÷ 應完成履約KPI數，須同列期間、未達原因及驗收證據。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待填；以案件ID連結文件0046評選紀錄及原始需求／期間。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  <w:pageBreakBefore w:val="1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0047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