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p>
      <w:pPr/>
      <w:r>
        <w:t>計算核對：評選加權總分＝各項評分×事前核定權重後加總（逐案明細引用文件0046）；履約達成率＝完成且驗證的履約KPI數 ÷ 應完成履約KPI數（履約檢討引用文件0047）。本會議表記錄核對結果與決議，不取代逐案評選或履約檢討原件。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候選文件、報價與資格原件、文件0046逐案評選紀錄及核准版。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  <w:pageBreakBefore w:val="1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0048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