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訓練課程切合性檢討與調整紀錄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I12-E01｜指標 12｜草案：待確認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檢視訓練課程切合性並記錄遴選、教材、師資、教學方法及設施的調整。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按檢討期間、課程版本及五個面向填資料，再追蹤改善與效果；不得以預期取代成果。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近年針對訓練課程的切合性， 有檢討並調整遴選學員、教材、師資、教學方法與訓練設施的過程，或有完整文書手冊與紀錄分析相關資料並持續改善。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一、切合性檢討範圍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依本會實際課程與可取得的原始資料設定檢討期間。逐項檢視學員遴選、教材、師資、教學方法、訓練設施是否符合課程目標與對象需要。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384"/>
        <w:gridCol w:w="2088"/>
        <w:gridCol w:w="2909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檢討面向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核對問題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資料來源／限制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判讀與調整需求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學員遴選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條件是否對應對象與課程先備能力？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教材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內容是否正確、適用、可取得且支持目標？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專長、授課方式與課程需求是否相合？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教學方法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活動、時間及評量能否支持目標？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設施設備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安全、可用性與教學需求是否相符？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[待判讀]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二、歷次檢討及改善追蹤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160"/>
        <w:gridCol w:w="2088"/>
        <w:gridCol w:w="2088"/>
        <w:gridCol w:w="1973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檢討期間／課程版</w:t>
            </w:r>
          </w:p>
        </w:tc>
        <w:tc>
          <w:tcPr>
            <w:tcW w:type="dxa" w:w="216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發現與證據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原因／影響範圍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決定與負責角色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完成／效果驗證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6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[待決定]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6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[待決定]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16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[待決定]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[待追蹤]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三、調整前後對照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728"/>
        <w:gridCol w:w="2232"/>
        <w:gridCol w:w="2376"/>
        <w:gridCol w:w="1973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修訂版／日期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調整項目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調整前依據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調整後內容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覆核／附件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9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沒有原始資料時，檢討欄保持待補。改善效果應以後續資料確認，不得以計畫或預期當作已完成成果。</w:t>
      </w:r>
    </w:p>
    <w:p>
      <w:pPr>
        <w:pStyle w:val="Heading1"/>
        <w:keepNext/>
        <w:keepLines/>
        <w:pageBreakBefore/>
      </w:pPr>
      <w:r>
        <w:t>操作工具補充｜課程切合性檢核與改善驗證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五個面向均須以核定的課程目標與可查證資料判讀。空白表格不表示已檢討或已調整；沒有歷史紀錄時，結果保持待補。</w:t>
      </w:r>
    </w:p>
    <w:p>
      <w:pPr>
        <w:pStyle w:val="Heading2"/>
        <w:keepNext/>
        <w:keepLines/>
      </w:pPr>
      <w:r>
        <w:t>1. 五面向逐項檢核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面向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核定標準／來源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本次實際證據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符合／差異與原因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決定／責任／期限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學員遴選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[標準版次待核定]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[申請／錄取資料位置]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教材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[目標、版本與授權依據]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[教材版本／審查記錄]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師資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[資格與課程需要依據]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[資格查核／授課紀錄]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教學方法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[目標與學習活動依據]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[教案／觀察／回饋]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訓練設施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[安全、容量、器材要求]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[檢核／維護紀錄]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2. 改善措施與效果覆核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問題／差異ID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調整前證據與影響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改善措施／課程版次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責任角色／到期日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實施後證據／效果判定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[待填；註明限制]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[待核定／待執行]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[待指派／待填]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[實施後填，不以預期代替結果]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3. 檢核計算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使用規則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面向檢核完成率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已完成證據核對的適用面向數 ÷ 適用面向總數 × 100%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五面向逐一說明不適用理由；分母0時不適用。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改善驗證完成率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已到期且有實施後證據及覆核的改善事項數 ÷ 到期改善事項總數 × 100%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未到期事項不列入；尚未實施不得標完成。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切合項目達成率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符合核定標準且具來源證據的適用檢核項目數 ÷ 應檢項目數 × 100%。不適用項目須記錄理由並自分母排除；分母為0時列不適用。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依核定標準逐項判定；表格填妥不等於符合。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[待計算]</w:t>
            </w:r>
          </w:p>
        </w:tc>
      </w:tr>
    </w:tbl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來源與真實性：官方要求依查核表所列；本稿為可編輯工作稿。協會現況、核定、執行、第三方證明及成果均以取得的真實原始資料為準。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