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Microsoft JhengHei" w:hAnsi="Microsoft JhengHei" w:eastAsia="Microsoft JhengHei" w:cs="Microsoft JhengHei"/>
          <w:b/>
          <w:i w:val="0"/>
          <w:color w:val="000000"/>
          <w:sz w:val="46"/>
        </w:rPr>
        <w:t>訓練班級完整結案報告</w:t>
      </w:r>
    </w:p>
    <w:p>
      <w:pPr>
        <w:keepNext/>
        <w:keepLines/>
        <w:spacing w:before="0" w:after="40" w:line="252" w:lineRule="auto"/>
      </w:pPr>
      <w:r>
        <w:rPr>
          <w:b/>
          <w:sz w:val="21"/>
        </w:rPr>
        <w:t>這份文件要證明什麼？</w:t>
      </w:r>
      <w:r>
        <w:t xml:space="preserve"> </w:t>
      </w:r>
      <w:r>
        <w:rPr>
          <w:sz w:val="21"/>
        </w:rPr>
        <w:t>示範如何彙整一個訓練班的執行、成果、資源收支、檢討與改善。</w:t>
      </w:r>
    </w:p>
    <w:p>
      <w:pPr>
        <w:keepNext/>
        <w:keepLines/>
        <w:pageBreakBefore w:val="0"/>
        <w:spacing w:before="0" w:after="40" w:line="252" w:lineRule="auto"/>
      </w:pPr>
      <w:r>
        <w:rPr>
          <w:b/>
          <w:sz w:val="21"/>
        </w:rPr>
        <w:t>我們怎麼做？</w:t>
      </w:r>
      <w:r>
        <w:br/>
      </w:r>
      <w:r>
        <w:rPr>
          <w:sz w:val="21"/>
        </w:rPr>
        <w:t>①核對班次及原始紀錄；②比對訓練目標、執行與評量；③檢視收支、回饋及異常；④提出待核定改善並列明證據。　責任：班務承辦及獨立覆核角色待指定。</w:t>
      </w:r>
      <w:r>
        <w:br/>
      </w:r>
      <w:r>
        <w:rPr>
          <w:b/>
          <w:sz w:val="21"/>
        </w:rPr>
        <w:t>目前狀態：</w:t>
      </w:r>
      <w:r>
        <w:rPr>
          <w:sz w:val="21"/>
        </w:rPr>
        <w:t>全文數字為合成示例，不是協會實際班級、付款、評量或訓練成果。</w:t>
      </w:r>
    </w:p>
    <w:p>
      <w:pPr>
        <w:keepLines/>
        <w:spacing w:before="0" w:after="80" w:line="252" w:lineRule="auto"/>
      </w:pPr>
      <w:r>
        <w:rPr>
          <w:b/>
          <w:sz w:val="21"/>
        </w:rPr>
        <w:t>評核委員先看：</w:t>
      </w:r>
      <w:r>
        <w:t xml:space="preserve"> </w:t>
      </w:r>
      <w:r>
        <w:rPr>
          <w:sz w:val="21"/>
        </w:rPr>
        <w:t>合成案例摘要、第12節學習評量、第17至19節檢討與改善、第20節附件與證據索引。</w:t>
      </w:r>
    </w:p>
    <w:p>
      <w:r>
        <w:rPr>
          <w:rFonts w:ascii="Microsoft JhengHei" w:hAnsi="Microsoft JhengHei" w:eastAsia="Microsoft JhengHei" w:cs="Microsoft JhengHei"/>
          <w:b/>
          <w:i w:val="0"/>
          <w:color w:val="9C2F2F"/>
          <w:sz w:val="22"/>
        </w:rPr>
        <w:t>合成示例，非協會實際紀錄</w:t>
      </w:r>
    </w:p>
    <w:p>
      <w:pPr>
        <w:keepLines/>
        <w:spacing w:after="80" w:line="264" w:lineRule="auto"/>
      </w:pPr>
      <w:r>
        <w:rPr>
          <w:rFonts w:ascii="Microsoft JhengHei" w:hAnsi="Microsoft JhengHei" w:eastAsia="Microsoft JhengHei" w:cs="Microsoft JhengHei"/>
          <w:b w:val="0"/>
          <w:i w:val="0"/>
          <w:color w:val="20262D"/>
          <w:sz w:val="18"/>
        </w:rPr>
        <w:t>本文件是可編輯的結案示例，並非協會辦訓、核定、付款、成績、回饋或改善實績。所有示例日期、數值、比例及假設已列入隨附的合成示例替換清單；未核實資料、核准、簽章及第三方證據均標示 尚待補入正式原始資料。</w:t>
      </w:r>
    </w:p>
    <w:tbl>
      <w:tblPr>
        <w:tblStyle w:val="TableGrid"/>
        <w:tblW w:type="auto" w:w="0"/>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社團法人屏東縣原始點關懷協會</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文件狀態與版次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合成示範稿｜工作稿 0.1</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示例班次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健康教育與傳統整復推拿技術示範班（合成案例）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2026-06-18 至 2026-06-19（合成示例）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用途</w:t>
            </w:r>
          </w:p>
        </w:tc>
        <w:tc>
          <w:tcPr>
            <w:tcW w:type="dxa" w:w="7776"/>
            <w:vAlign w:val="center"/>
            <w:tcMar>
              <w:top w:w="65" w:type="dxa"/>
              <w:start w:w="80" w:type="dxa"/>
              <w:bottom w:w="65" w:type="dxa"/>
              <w:end w:w="80" w:type="dxa"/>
            </w:tcMar>
          </w:tcPr>
          <w:p>
            <w:pPr>
              <w:keepLines/>
              <w:spacing w:after="0" w:before="0" w:line="245" w:lineRule="auto"/>
            </w:pPr>
            <w:r>
              <w:t>指標15：成果檢討與改善班級結案：需求、目標、執行、資源財務、成果、檢討及改善</w:t>
            </w:r>
            <w:r>
              <w:rPr>
                <w:rFonts w:ascii="Microsoft JhengHei" w:hAnsi="Microsoft JhengHei" w:eastAsia="Microsoft JhengHei" w:cs="Microsoft JhengHei"/>
                <w:b w:val="0"/>
                <w:i w:val="0"/>
                <w:color w:val="20262D"/>
                <w:sz w:val="17"/>
              </w:rPr>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協會定位</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健康教育及傳統整復推拿技術為核心；多元課程依實際需求、資源、法規及品質條件評估</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真實班次與核定</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80" w:after="40"/>
      </w:pPr>
      <w:r>
        <w:rPr>
          <w:rFonts w:ascii="Microsoft JhengHei" w:hAnsi="Microsoft JhengHei" w:eastAsia="Microsoft JhengHei" w:cs="Microsoft JhengHei"/>
          <w:b/>
          <w:i w:val="0"/>
          <w:color w:val="35485A"/>
          <w:sz w:val="17"/>
        </w:rPr>
        <w:t>合成案例摘要</w:t>
      </w:r>
    </w:p>
    <w:p>
      <w:pPr>
        <w:keepLines/>
        <w:spacing w:after="80" w:line="264" w:lineRule="auto"/>
      </w:pPr>
      <w:r>
        <w:rPr>
          <w:rFonts w:ascii="Microsoft JhengHei" w:hAnsi="Microsoft JhengHei" w:eastAsia="Microsoft JhengHei" w:cs="Microsoft JhengHei"/>
          <w:b w:val="0"/>
          <w:i w:val="0"/>
          <w:color w:val="20262D"/>
          <w:sz w:val="18"/>
        </w:rPr>
        <w:t>在本合成案例中，4項示例目標均達到設定門檻：出席率91.7%，有效受評者及格率81.8%，後測平均82/100，學員滿意度4.4/5。示例支出新臺幣17,600元，較示例規劃額少新臺幣400元，支出預算差異率-2.2%。收入資料尚未取得，不填列實際收入，也不以0代替；收支差額暫不計算。另有2份有效評量未達70分，建議下一班增加結構化練習並以同口徑驗證。這些數據僅示範結案分析，不代表協會實績。</w:t>
      </w:r>
    </w:p>
    <w:p>
      <w:pPr>
        <w:pStyle w:val="Heading1"/>
        <w:keepNext/>
        <w:keepLines/>
        <w:spacing w:before="180" w:after="60"/>
      </w:pPr>
      <w:r>
        <w:rPr>
          <w:rFonts w:ascii="Microsoft JhengHei" w:hAnsi="Microsoft JhengHei" w:eastAsia="Microsoft JhengHei" w:cs="Microsoft JhengHei"/>
          <w:b/>
          <w:i w:val="0"/>
          <w:color w:val="000000"/>
          <w:sz w:val="28"/>
        </w:rPr>
        <w:t>01 班別基本資料</w:t>
      </w:r>
    </w:p>
    <w:p>
      <w:pPr>
        <w:keepLines/>
        <w:spacing w:after="80" w:line="264" w:lineRule="auto"/>
      </w:pPr>
      <w:r>
        <w:rPr>
          <w:rFonts w:ascii="Microsoft JhengHei" w:hAnsi="Microsoft JhengHei" w:eastAsia="Microsoft JhengHei" w:cs="Microsoft JhengHei"/>
          <w:b w:val="0"/>
          <w:i w:val="0"/>
          <w:color w:val="20262D"/>
          <w:sz w:val="18"/>
        </w:rPr>
        <w:t>下表先固定班次識別與範圍；示例資料不得移作協會現況。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tblHeader w:val="true"/>
          <w:cantSplit/>
        </w:trPr>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欄位</w:t>
            </w:r>
          </w:p>
        </w:tc>
        <w:tc>
          <w:tcPr>
            <w:tcW w:type="dxa" w:w="77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本次填列</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班別名稱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健康教育與傳統整復推拿技術示範班（合成示例）</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班次／期間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示例班次；2026-06-18至2026-06-19</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訓練時數</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12小時；2日，每日6小時淨訓練時間</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參訓規模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示例報名12人；未生成個人名冊</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結案狀態</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完整度示範；真實結案及核定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班名、日期、時數及人數只構成一個合成案例，不能證明真實開課。正式使用前，以核定課程、班次代碼及原始班務紀錄整列替換。</w:t>
      </w:r>
    </w:p>
    <w:p>
      <w:pPr>
        <w:pStyle w:val="Heading1"/>
        <w:keepNext/>
        <w:keepLines/>
        <w:spacing w:before="180" w:after="60"/>
      </w:pPr>
      <w:r>
        <w:rPr>
          <w:rFonts w:ascii="Microsoft JhengHei" w:hAnsi="Microsoft JhengHei" w:eastAsia="Microsoft JhengHei" w:cs="Microsoft JhengHei"/>
          <w:b/>
          <w:i w:val="0"/>
          <w:color w:val="000000"/>
          <w:sz w:val="28"/>
        </w:rPr>
        <w:t>02 指標15：成果檢討與改善官方要求的直接回應與適用情境</w:t>
      </w:r>
    </w:p>
    <w:p>
      <w:pPr>
        <w:keepLines/>
        <w:spacing w:after="80" w:line="264" w:lineRule="auto"/>
      </w:pPr>
      <w:r>
        <w:rPr>
          <w:rFonts w:ascii="Microsoft JhengHei" w:hAnsi="Microsoft JhengHei" w:eastAsia="Microsoft JhengHei" w:cs="Microsoft JhengHei"/>
          <w:b w:val="0"/>
          <w:i w:val="0"/>
          <w:color w:val="20262D"/>
          <w:sz w:val="18"/>
        </w:rPr>
        <w:t>官方要求原文：「訓練的結案報告，包括資源的運用、財務的支配、訓練成果的展現、檢討及改進的方法。」本報告把單一班級需求與目標連到執行、出勤、師資、教材、場地、人力、經費、評量、回饋、異常、追蹤及改善，並為結論指定可回查位置。</w:t>
      </w:r>
    </w:p>
    <w:p>
      <w:pPr>
        <w:keepLines/>
        <w:spacing w:after="80" w:line="264" w:lineRule="auto"/>
      </w:pPr>
      <w:r>
        <w:rPr>
          <w:rFonts w:ascii="Microsoft JhengHei" w:hAnsi="Microsoft JhengHei" w:eastAsia="Microsoft JhengHei" w:cs="Microsoft JhengHei"/>
          <w:b w:val="0"/>
          <w:i w:val="0"/>
          <w:color w:val="20262D"/>
          <w:sz w:val="18"/>
        </w:rPr>
        <w:t>來源定位：TTQS查核佐證文件資料表－訓練機構版，第5頁。已核實來源資料記載指標15的評核意義為定期課後檢討與改善，檢討應呈現學員建議、訓練需求、目標及方法。指標8、指標16、指標17a、指標17b核心事實由各自文件擁有，本報告只交叉引用已核實結論。</w:t>
      </w:r>
    </w:p>
    <w:p>
      <w:pPr>
        <w:keepNext/>
        <w:spacing w:before="80" w:after="40"/>
      </w:pPr>
      <w:r>
        <w:rPr>
          <w:rFonts w:ascii="Microsoft JhengHei" w:hAnsi="Microsoft JhengHei" w:eastAsia="Microsoft JhengHei" w:cs="Microsoft JhengHei"/>
          <w:b/>
          <w:i w:val="0"/>
          <w:color w:val="35485A"/>
          <w:sz w:val="17"/>
        </w:rPr>
        <w:t>表1 指標15：成果檢討與改善要求與本報告證據追溯表（示例結果／原件待補）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036"/>
        <w:gridCol w:w="1483"/>
        <w:gridCol w:w="1468"/>
        <w:gridCol w:w="1584"/>
        <w:gridCol w:w="1267"/>
        <w:gridCol w:w="3139"/>
      </w:tblGrid>
      <w:tr>
        <w:trPr>
          <w:tblHeader w:val="true"/>
          <w:cantSplit/>
        </w:trPr>
        <w:tc>
          <w:tcPr>
            <w:tcW w:type="dxa" w:w="103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要求</w:t>
            </w:r>
          </w:p>
        </w:tc>
        <w:tc>
          <w:tcPr>
            <w:tcW w:type="dxa" w:w="148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資料來源</w:t>
            </w:r>
          </w:p>
        </w:tc>
        <w:tc>
          <w:tcPr>
            <w:tcW w:type="dxa" w:w="146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欄位／指標</w:t>
            </w:r>
          </w:p>
        </w:tc>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126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本報告位置</w:t>
            </w:r>
          </w:p>
        </w:tc>
        <w:tc>
          <w:tcPr>
            <w:tcW w:type="dxa" w:w="313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覆核／原件</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資源運用</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計畫與執行欄</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人力、日數、時數、場地</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2日、12小時；角色數見第10節</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第10節表1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簽到、排程、設備紀錄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財務支配</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合成案例預算表</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規劃額、支出、差異率</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18,000元；17,600元；-2.2%</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第11節表1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核定、憑證、付款、帳簿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訓練成果</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合成評量及回饋</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出席、分數、及格率、滿意度</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91.7%；82分；81.8%；4.4/5</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第6、12、13、17節及圖1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簽到、測驗、問卷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檢討改善</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差距分析與待驗證假設</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問題、措施、責任、期限</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2份未達70分；增加引導練習</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第17至19節</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檢討決議及驗證紀錄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官方文字由資源、財務、成果及檢討改善四條證據路徑對應。下一步補入原件名稱、頁碼或受控路徑及覆核者，不以本表取代原件。</w:t>
      </w:r>
    </w:p>
    <w:p>
      <w:pPr>
        <w:pStyle w:val="Heading1"/>
        <w:keepNext/>
        <w:keepLines/>
        <w:spacing w:before="180" w:after="60"/>
      </w:pPr>
      <w:r>
        <w:rPr>
          <w:rFonts w:ascii="Microsoft JhengHei" w:hAnsi="Microsoft JhengHei" w:eastAsia="Microsoft JhengHei" w:cs="Microsoft JhengHei"/>
          <w:b/>
          <w:i w:val="0"/>
          <w:color w:val="000000"/>
          <w:sz w:val="28"/>
        </w:rPr>
        <w:t>03 開課需求與依據</w:t>
      </w:r>
    </w:p>
    <w:p>
      <w:pPr>
        <w:keepLines/>
        <w:spacing w:after="80" w:line="264" w:lineRule="auto"/>
      </w:pPr>
      <w:r>
        <w:rPr>
          <w:rFonts w:ascii="Microsoft JhengHei" w:hAnsi="Microsoft JhengHei" w:eastAsia="Microsoft JhengHei" w:cs="Microsoft JhengHei"/>
          <w:b w:val="0"/>
          <w:i w:val="0"/>
          <w:color w:val="20262D"/>
          <w:sz w:val="18"/>
        </w:rPr>
        <w:t>需求示例只說明如何把協會明示的健康教育及傳統整復推拿技術方向轉成一班可檢討的課程假設；它不是市場調查、理監事會決議或已核定課程。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3816"/>
        <w:gridCol w:w="424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結案問題</w:t>
            </w:r>
          </w:p>
        </w:tc>
        <w:tc>
          <w:tcPr>
            <w:tcW w:type="dxa" w:w="38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示例／真實狀態</w:t>
            </w:r>
          </w:p>
        </w:tc>
        <w:tc>
          <w:tcPr>
            <w:tcW w:type="dxa" w:w="42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分析及待補欄位</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誰需要本班？</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合成案例假設有相關學習需求；無真人名單。</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填入需求對象、樣本數、來源及日期；真實調查 尚待補入正式原始資料。</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需求如何確認？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未提供市場調查或訪談結果。</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附問卷、訪談、職能分析等原件；不得以本示例替代。</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為何採此範圍？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概念、安全界線、示範、引導練習及評量。</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以真實需求、師資、場地及法規核定後定稿。</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合成需求假設不能支持真實開課判斷。正式結案須回填需求原件及決策來源，並說明它如何影響目標與方法。</w:t>
      </w:r>
    </w:p>
    <w:p>
      <w:pPr>
        <w:pStyle w:val="Heading1"/>
        <w:keepNext/>
        <w:keepLines/>
        <w:pageBreakBefore/>
        <w:spacing w:before="180" w:after="60"/>
      </w:pPr>
      <w:r>
        <w:rPr>
          <w:rFonts w:ascii="Microsoft JhengHei" w:hAnsi="Microsoft JhengHei" w:eastAsia="Microsoft JhengHei" w:cs="Microsoft JhengHei"/>
          <w:b/>
          <w:i w:val="0"/>
          <w:color w:val="000000"/>
          <w:sz w:val="28"/>
        </w:rPr>
        <w:t>04 原定訓練目標</w:t>
      </w:r>
    </w:p>
    <w:p>
      <w:pPr>
        <w:keepNext/>
        <w:keepLines/>
        <w:spacing w:after="80" w:line="264" w:lineRule="auto"/>
      </w:pPr>
      <w:r>
        <w:rPr>
          <w:rFonts w:ascii="Microsoft JhengHei" w:hAnsi="Microsoft JhengHei" w:eastAsia="Microsoft JhengHei" w:cs="Microsoft JhengHei"/>
          <w:b w:val="0"/>
          <w:i w:val="0"/>
          <w:color w:val="20262D"/>
          <w:sz w:val="18"/>
        </w:rPr>
        <w:t>以下門檻為演示成效判定而設，並非協會核定指標；第17節依相同口徑對照結果。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2232"/>
        <w:gridCol w:w="2376"/>
        <w:gridCol w:w="38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示例判準</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衡量方式</w:t>
            </w:r>
          </w:p>
        </w:tc>
        <w:tc>
          <w:tcPr>
            <w:tcW w:type="dxa" w:w="38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真實原始欄位</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G1 知識提升</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後測平均≥75/100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同一有效樣本前後測平均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試卷、原始分數及核定目標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G2 評量達標</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至少80%達70分</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及格人數÷有效受評人數</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規準、分數、樣本定義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G3 參訓投入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實到人次÷應到人次</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班表、逐次簽到、補課規則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G4 學員感受</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回饋平均≥4.2/5</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有效量表平均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問卷、版本、有效回覆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四項門檻只作合成分析基準。下一步以課前核定教案、評量規準及計畫指標替換。</w:t>
      </w:r>
    </w:p>
    <w:p>
      <w:pPr>
        <w:pStyle w:val="Heading1"/>
        <w:keepNext/>
        <w:keepLines/>
        <w:spacing w:before="180" w:after="60"/>
      </w:pPr>
      <w:r>
        <w:rPr>
          <w:rFonts w:ascii="Microsoft JhengHei" w:hAnsi="Microsoft JhengHei" w:eastAsia="Microsoft JhengHei" w:cs="Microsoft JhengHei"/>
          <w:b/>
          <w:i w:val="0"/>
          <w:color w:val="000000"/>
          <w:sz w:val="28"/>
        </w:rPr>
        <w:t>05 實際執行情況</w:t>
      </w:r>
    </w:p>
    <w:p>
      <w:pPr>
        <w:keepLines/>
        <w:spacing w:after="80" w:line="264" w:lineRule="auto"/>
      </w:pPr>
      <w:r>
        <w:rPr>
          <w:rFonts w:ascii="Microsoft JhengHei" w:hAnsi="Microsoft JhengHei" w:eastAsia="Microsoft JhengHei" w:cs="Microsoft JhengHei"/>
          <w:b w:val="0"/>
          <w:i w:val="0"/>
          <w:color w:val="20262D"/>
          <w:sz w:val="18"/>
        </w:rPr>
        <w:t>合成案例排為2日共12小時：健康教育概念與安全界線、技術示範、引導練習、評量及課後檢討。這不是已發生的協會活動。</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440"/>
        <w:gridCol w:w="3311"/>
        <w:gridCol w:w="2520"/>
        <w:gridCol w:w="2808"/>
      </w:tblGrid>
      <w:tr>
        <w:trPr>
          <w:tblHeader w:val="true"/>
          <w:cantSplit/>
        </w:trPr>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環節</w:t>
            </w:r>
          </w:p>
        </w:tc>
        <w:tc>
          <w:tcPr>
            <w:tcW w:type="dxa" w:w="33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計畫／示例執行情境</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結案判讀</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真實紀錄</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課程主題</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與明示核心方向相連，不等於核定課程。</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核定名稱、班次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期間</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2026-06-18至19；2日、12小時</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示例作計畫與使用比較。</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課表、簽到、授課紀錄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教學序列</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概念及安全界線→示範→練習→評量回饋</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提供評量及改善脈絡。</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教案、講義、日誌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示例有清楚順序與結果定位；真實完課時數、異動及實施證據未確認。下一步以課表及逐次授課紀錄核對，不由排程推定完成。</w:t>
      </w:r>
    </w:p>
    <w:p>
      <w:pPr>
        <w:pStyle w:val="Heading1"/>
        <w:keepNext/>
        <w:keepLines/>
        <w:spacing w:before="180" w:after="60"/>
      </w:pPr>
      <w:r>
        <w:rPr>
          <w:rFonts w:ascii="Microsoft JhengHei" w:hAnsi="Microsoft JhengHei" w:eastAsia="Microsoft JhengHei" w:cs="Microsoft JhengHei"/>
          <w:b/>
          <w:i w:val="0"/>
          <w:color w:val="000000"/>
          <w:sz w:val="28"/>
        </w:rPr>
        <w:t>06 學員及出勤</w:t>
      </w:r>
    </w:p>
    <w:p>
      <w:pPr>
        <w:keepLines/>
        <w:spacing w:after="80" w:line="264" w:lineRule="auto"/>
      </w:pPr>
      <w:r>
        <w:rPr>
          <w:rFonts w:ascii="Microsoft JhengHei" w:hAnsi="Microsoft JhengHei" w:eastAsia="Microsoft JhengHei" w:cs="Microsoft JhengHei"/>
          <w:b w:val="0"/>
          <w:i w:val="0"/>
          <w:color w:val="20262D"/>
          <w:sz w:val="18"/>
        </w:rPr>
        <w:t>按人次計算：12名示例報名者、2個上課日，應到24人次；合成實到22人次、缺勤2人次。</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1655"/>
        <w:gridCol w:w="3240"/>
        <w:gridCol w:w="3600"/>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合成數值</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口徑／算式</w:t>
            </w:r>
          </w:p>
        </w:tc>
        <w:tc>
          <w:tcPr>
            <w:tcW w:type="dxa" w:w="36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報名人數</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案例彙總，不列姓名</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應到人次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24</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12人×2日</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核定班表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逐次人次合計</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簽到及補課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24－22</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缺席原因及聯繫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91.7%</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實到÷應到＝22÷24</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合成結果</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合成出席率91.7%，高於示例門檻90%；缺勤2人次仍須核對補課、原因及結訓資格。下一步以原始簽到重算。</w:t>
      </w:r>
    </w:p>
    <w:p>
      <w:pPr>
        <w:pStyle w:val="Heading1"/>
        <w:keepNext/>
        <w:keepLines/>
        <w:pageBreakBefore/>
        <w:spacing w:before="180" w:after="60"/>
      </w:pPr>
      <w:r>
        <w:rPr>
          <w:rFonts w:ascii="Microsoft JhengHei" w:hAnsi="Microsoft JhengHei" w:eastAsia="Microsoft JhengHei" w:cs="Microsoft JhengHei"/>
          <w:b/>
          <w:i w:val="0"/>
          <w:color w:val="000000"/>
          <w:sz w:val="28"/>
        </w:rPr>
        <w:t>07 師資執行</w:t>
      </w:r>
    </w:p>
    <w:p>
      <w:pPr>
        <w:keepNext/>
        <w:keepLines/>
        <w:spacing w:after="80" w:line="264" w:lineRule="auto"/>
      </w:pPr>
      <w:r>
        <w:rPr>
          <w:rFonts w:ascii="Microsoft JhengHei" w:hAnsi="Microsoft JhengHei" w:eastAsia="Microsoft JhengHei" w:cs="Microsoft JhengHei"/>
          <w:b w:val="0"/>
          <w:i w:val="0"/>
          <w:color w:val="20262D"/>
          <w:sz w:val="18"/>
        </w:rPr>
        <w:t>只列職能與原件需求，不列姓名、證照編號或第三方資格；資源示例使用1個授課角色與1個行政支援角色。</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880"/>
        <w:gridCol w:w="4104"/>
        <w:gridCol w:w="136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角色</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合成工作內容</w:t>
            </w:r>
          </w:p>
        </w:tc>
        <w:tc>
          <w:tcPr>
            <w:tcW w:type="dxa" w:w="41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原件須證明</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依教案講授、示範、引導練習及評量。</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姓名、資格、經歷、合約、出勤、授課紀錄。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行政支援（1）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示例負責報到、教材、場地及資料彙整。</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承辦人、分工、個資授權及紀錄。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示例分工不是師資任用或授課證明。下一步填入真實人員、資格查核及授課紀錄；核實前不得稱其已授課。</w:t>
      </w:r>
    </w:p>
    <w:p>
      <w:pPr>
        <w:pStyle w:val="Heading1"/>
        <w:keepNext/>
        <w:keepLines/>
        <w:spacing w:before="180" w:after="60"/>
      </w:pPr>
      <w:r>
        <w:rPr>
          <w:rFonts w:ascii="Microsoft JhengHei" w:hAnsi="Microsoft JhengHei" w:eastAsia="Microsoft JhengHei" w:cs="Microsoft JhengHei"/>
          <w:b/>
          <w:i w:val="0"/>
          <w:color w:val="000000"/>
          <w:sz w:val="28"/>
        </w:rPr>
        <w:t>08 教材與教學方法</w:t>
      </w:r>
    </w:p>
    <w:p>
      <w:pPr>
        <w:keepLines/>
        <w:spacing w:after="80" w:line="264" w:lineRule="auto"/>
      </w:pPr>
      <w:r>
        <w:rPr>
          <w:rFonts w:ascii="Microsoft JhengHei" w:hAnsi="Microsoft JhengHei" w:eastAsia="Microsoft JhengHei" w:cs="Microsoft JhengHei"/>
          <w:b w:val="0"/>
          <w:i w:val="0"/>
          <w:color w:val="20262D"/>
          <w:sz w:val="18"/>
        </w:rPr>
        <w:t>合成教材建議為概念講義、步驟提示卡、操作檢核表及課後反思題；這些是設計欄位，不表示已有教材檔案。方法為短講、逐步示範、引導練習及評量回饋。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20"/>
        <w:gridCol w:w="2951"/>
        <w:gridCol w:w="2592"/>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方法／教材</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用途</w:t>
            </w:r>
          </w:p>
        </w:tc>
        <w:tc>
          <w:tcPr>
            <w:tcW w:type="dxa" w:w="295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示例結果／差距</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真實原件</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概念講義與短講</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建立健康教育及安全界線。</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示例包含概念環節；理解須經評量。</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講義版本及授課紀錄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逐步示範與提示卡</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分解步驟，供練習比對。</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合成回饋建議增加順序提示。</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教案、教材、使用紀錄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引導練習及檢核表</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記錄理解與待補強項目。</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建議下班增20分鐘結構化練習。</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檢核表、日誌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評量及反思</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把目標、結果、回饋連到改善。</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第12至18節示範分析鏈。</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題本、問卷、檢討紀錄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示例呈現內容、活動與評量連結。下一步核對真實教案和教材版本，並確認適用界線。</w:t>
      </w:r>
    </w:p>
    <w:p>
      <w:pPr>
        <w:pStyle w:val="Heading1"/>
        <w:keepNext/>
        <w:keepLines/>
        <w:spacing w:before="180" w:after="60"/>
      </w:pPr>
      <w:r>
        <w:rPr>
          <w:rFonts w:ascii="Microsoft JhengHei" w:hAnsi="Microsoft JhengHei" w:eastAsia="Microsoft JhengHei" w:cs="Microsoft JhengHei"/>
          <w:b/>
          <w:i w:val="0"/>
          <w:color w:val="000000"/>
          <w:sz w:val="28"/>
        </w:rPr>
        <w:t>09 場地及設備</w:t>
      </w:r>
    </w:p>
    <w:p>
      <w:pPr>
        <w:keepLines/>
        <w:spacing w:after="80" w:line="264" w:lineRule="auto"/>
      </w:pPr>
      <w:r>
        <w:rPr>
          <w:rFonts w:ascii="Microsoft JhengHei" w:hAnsi="Microsoft JhengHei" w:eastAsia="Microsoft JhengHei" w:cs="Microsoft JhengHei"/>
          <w:b w:val="0"/>
          <w:i w:val="0"/>
          <w:color w:val="20262D"/>
          <w:sz w:val="18"/>
        </w:rPr>
        <w:t>場地與設備同時支援資源運用及安全判讀；下表不是預約、採購、場勘或點檢證明。</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880"/>
        <w:gridCol w:w="2232"/>
        <w:gridCol w:w="3168"/>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項目</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計畫需求</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合成案例使用</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教學空間</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講授及示範空間，2日。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示例使用2日。</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預約、租用、場勘、清潔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投影設備</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支援概念說明及步驟展示。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借用、測試、故障紀錄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練習區與清潔備品</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依安全界線安排示範練習。</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配置、消毒及風險檢核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示例需求與方法相符，但場地是否安全及適用不能由示例推定。下一步取得使用、點檢及課前風險檢核原件。</w:t>
      </w:r>
    </w:p>
    <w:p>
      <w:pPr>
        <w:pStyle w:val="Heading1"/>
        <w:keepNext/>
        <w:keepLines/>
        <w:pageBreakBefore/>
        <w:spacing w:before="180" w:after="60"/>
      </w:pPr>
      <w:r>
        <w:rPr>
          <w:rFonts w:ascii="Microsoft JhengHei" w:hAnsi="Microsoft JhengHei" w:eastAsia="Microsoft JhengHei" w:cs="Microsoft JhengHei"/>
          <w:b/>
          <w:i w:val="0"/>
          <w:color w:val="000000"/>
          <w:sz w:val="28"/>
        </w:rPr>
        <w:t>10 人力與資源</w:t>
      </w:r>
    </w:p>
    <w:p>
      <w:pPr>
        <w:keepNext/>
        <w:keepLines/>
        <w:spacing w:after="80" w:line="264" w:lineRule="auto"/>
      </w:pPr>
      <w:r>
        <w:rPr>
          <w:rFonts w:ascii="Microsoft JhengHei" w:hAnsi="Microsoft JhengHei" w:eastAsia="Microsoft JhengHei" w:cs="Microsoft JhengHei"/>
          <w:b w:val="0"/>
          <w:i w:val="0"/>
          <w:color w:val="20262D"/>
          <w:sz w:val="18"/>
        </w:rPr>
        <w:t>表1將計畫投入與合成案例使用量放在同一口徑；「實際」欄仍是示例，不是協會投入。</w:t>
      </w:r>
    </w:p>
    <w:p>
      <w:pPr>
        <w:keepNext/>
        <w:spacing w:before="80" w:after="40"/>
      </w:pPr>
      <w:r>
        <w:rPr>
          <w:rFonts w:ascii="Microsoft JhengHei" w:hAnsi="Microsoft JhengHei" w:eastAsia="Microsoft JhengHei" w:cs="Microsoft JhengHei"/>
          <w:b/>
          <w:i w:val="0"/>
          <w:color w:val="35485A"/>
          <w:sz w:val="17"/>
        </w:rPr>
        <w:t>表1 計畫vs實際總表（合成示例）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368"/>
        <w:gridCol w:w="1655"/>
        <w:gridCol w:w="2232"/>
        <w:gridCol w:w="316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資源</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計畫量</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示例實際量</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差異／判讀</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真實證明</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報名人數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上課日數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課表及簽到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淨訓練時數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相符；每日6小時</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授課日誌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角色數相符；資格未核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師資資料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行政支援角色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角色數相符；真人未核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工作分派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場地使用</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示例排程相符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預約及使用憑證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示例中人力、時間及場地量與計畫相符；不證明資源可用或已支付。下一步核對排班、出勤、場地及教材，並以真值重算。</w:t>
      </w:r>
    </w:p>
    <w:p>
      <w:pPr>
        <w:pStyle w:val="Heading1"/>
        <w:keepNext/>
        <w:keepLines/>
        <w:spacing w:before="180" w:after="60"/>
      </w:pPr>
      <w:r>
        <w:rPr>
          <w:rFonts w:ascii="Microsoft JhengHei" w:hAnsi="Microsoft JhengHei" w:eastAsia="Microsoft JhengHei" w:cs="Microsoft JhengHei"/>
          <w:b/>
          <w:i w:val="0"/>
          <w:color w:val="000000"/>
          <w:sz w:val="28"/>
        </w:rPr>
        <w:t>11 支出預算與收支差額口徑</w:t>
      </w:r>
    </w:p>
    <w:p>
      <w:pPr>
        <w:keepLines/>
        <w:spacing w:after="80" w:line="264" w:lineRule="auto"/>
      </w:pPr>
      <w:r>
        <w:rPr>
          <w:rFonts w:ascii="Microsoft JhengHei" w:hAnsi="Microsoft JhengHei" w:eastAsia="Microsoft JhengHei" w:cs="Microsoft JhengHei"/>
          <w:b w:val="0"/>
          <w:i w:val="0"/>
          <w:color w:val="20262D"/>
          <w:sz w:val="18"/>
        </w:rPr>
        <w:t>「規劃額」只是合成案例假設，不是協會核定預算；「示例支出」不是交易、付款或收據。</w:t>
      </w:r>
    </w:p>
    <w:p>
      <w:pPr>
        <w:keepNext/>
        <w:spacing w:before="80" w:after="40"/>
      </w:pPr>
      <w:r>
        <w:rPr>
          <w:rFonts w:ascii="Microsoft JhengHei" w:hAnsi="Microsoft JhengHei" w:eastAsia="Microsoft JhengHei" w:cs="Microsoft JhengHei"/>
          <w:b/>
          <w:i w:val="0"/>
          <w:color w:val="35485A"/>
          <w:sz w:val="17"/>
        </w:rPr>
        <w:t>表1 支出規劃與示例支出比較表（新臺幣；合成示例）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3168"/>
        <w:gridCol w:w="2160"/>
        <w:gridCol w:w="2088"/>
        <w:gridCol w:w="2664"/>
      </w:tblGrid>
      <w:tr>
        <w:trPr>
          <w:tblHeader w:val="true"/>
          <w:cantSplit/>
        </w:trPr>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科目</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示例規劃額</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示例支出</w:t>
            </w:r>
          </w:p>
        </w:tc>
        <w:tc>
          <w:tcPr>
            <w:tcW w:type="dxa" w:w="2664"/>
            <w:vAlign w:val="center"/>
            <w:tcMar>
              <w:top w:w="65" w:type="dxa"/>
              <w:start w:w="80" w:type="dxa"/>
              <w:bottom w:w="65" w:type="dxa"/>
              <w:end w:w="80" w:type="dxa"/>
            </w:tcMar>
            <w:shd w:fill="E6EDF3"/>
          </w:tcPr>
          <w:p>
            <w:pPr>
              <w:keepLines/>
              <w:spacing w:after="0" w:before="0" w:line="245" w:lineRule="auto"/>
            </w:pPr>
            <w:r>
              <w:t>差異（示例支出－示例規劃額）</w:t>
            </w:r>
            <w:r>
              <w:rPr>
                <w:rFonts w:ascii="Microsoft JhengHei" w:hAnsi="Microsoft JhengHei" w:eastAsia="Microsoft JhengHei" w:cs="Microsoft JhengHei"/>
                <w:b/>
                <w:i w:val="0"/>
                <w:color w:val="20262D"/>
                <w:sz w:val="17"/>
              </w:rPr>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場地使用</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教材與耗材</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2,700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教學支援</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行政與設備</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2,900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合計</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17,600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w:t>
            </w:r>
          </w:p>
        </w:tc>
      </w:tr>
      <w:tr>
        <w:trPr>
          <w:cantSplit/>
        </w:trPr>
        <w:tc>
          <w:tcPr>
            <w:tcW w:type="dxa" w:w="316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收入資料（非支出科目）</w:t>
            </w:r>
          </w:p>
        </w:tc>
        <w:tc>
          <w:tcPr>
            <w:tcW w:type="dxa" w:w="2160"/>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尚未取得；不填列實際收入</w:t>
            </w:r>
          </w:p>
        </w:tc>
        <w:tc>
          <w:tcPr>
            <w:tcW w:type="dxa" w:w="208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尚未取得；不以0代替</w:t>
            </w:r>
          </w:p>
        </w:tc>
        <w:tc>
          <w:tcPr>
            <w:tcW w:type="dxa" w:w="2664"/>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收支差額暫不計算</w:t>
            </w:r>
          </w:p>
        </w:tc>
      </w:tr>
    </w:tbl>
    <w:p>
      <w:pPr/>
      <w:r>
        <w:t>本表目前為成本／支出預算規劃，收入資料尚未取得，因此不填列實際收入；正式核定或執行時再依原始憑證補入。收支差額＝實際／核定收入－實際／核定支出；收入尚未取得時，收支差額＝暫不計算，不填0。表內合計僅加總四項支出；「支出差異」仍是示例支出－示例規劃額，不能與收支差額混稱。</w:t>
      </w:r>
    </w:p>
    <w:p>
      <w:pPr>
        <w:spacing w:after="20"/>
      </w:pPr>
    </w:p>
    <w:p>
      <w:pPr>
        <w:keepLines/>
        <w:spacing w:after="80" w:line="264" w:lineRule="auto"/>
      </w:pPr>
      <w:r>
        <w:rPr>
          <w:rFonts w:ascii="Microsoft JhengHei" w:hAnsi="Microsoft JhengHei" w:eastAsia="Microsoft JhengHei" w:cs="Microsoft JhengHei"/>
          <w:b w:val="0"/>
          <w:i w:val="0"/>
          <w:color w:val="20262D"/>
          <w:sz w:val="18"/>
        </w:rPr>
        <w:t>支出預算差異率＝（示例支出－示例規劃額）÷示例規劃額＝（17,600－18,000）÷18,000＝-2.22%，顯示為-2.2%。負值表示示例支出低於示例規劃額；這不是收入減支出的收支淨額。</w:t>
      </w:r>
    </w:p>
    <w:p>
      <w:pPr>
        <w:keepLines/>
        <w:spacing w:before="20" w:after="120"/>
      </w:pPr>
      <w:r>
        <w:rPr>
          <w:rFonts w:ascii="Microsoft JhengHei" w:hAnsi="Microsoft JhengHei" w:eastAsia="Microsoft JhengHei" w:cs="Microsoft JhengHei"/>
          <w:b/>
          <w:i w:val="0"/>
          <w:color w:val="31465A"/>
          <w:sz w:val="17"/>
        </w:rPr>
        <w:t>判讀／處置與下一步：四項支出科目合計為18,000元規劃額、17,600元示例支出，支出差異為-400元，算術相符；差額落在教材耗材及行政設備。收入尚未取得，因此收支差額暫不計算。下一步以核定預算、收入／補助原件、支出憑證、付款及帳簿查明真實收支。</w:t>
      </w:r>
      <w:r>
        <w:rPr>
          <w:rFonts w:ascii="Microsoft JhengHei" w:hAnsi="Microsoft JhengHei" w:eastAsia="Microsoft JhengHei" w:cs="Microsoft JhengHei"/>
          <w:b w:val="0"/>
          <w:i w:val="0"/>
          <w:color w:val="20262D"/>
          <w:sz w:val="17"/>
        </w:rPr>
      </w:r>
    </w:p>
    <w:p>
      <w:pPr>
        <w:pStyle w:val="Heading1"/>
        <w:keepNext/>
        <w:keepLines/>
        <w:pageBreakBefore/>
        <w:spacing w:before="180" w:after="60"/>
      </w:pPr>
      <w:r>
        <w:rPr>
          <w:rFonts w:ascii="Microsoft JhengHei" w:hAnsi="Microsoft JhengHei" w:eastAsia="Microsoft JhengHei" w:cs="Microsoft JhengHei"/>
          <w:b/>
          <w:i w:val="0"/>
          <w:color w:val="000000"/>
          <w:sz w:val="28"/>
        </w:rPr>
        <w:t>12 學習評量結果</w:t>
      </w:r>
    </w:p>
    <w:p>
      <w:pPr>
        <w:keepNext/>
        <w:keepLines/>
        <w:spacing w:after="80" w:line="264" w:lineRule="auto"/>
      </w:pPr>
      <w:r>
        <w:rPr>
          <w:rFonts w:ascii="Microsoft JhengHei" w:hAnsi="Microsoft JhengHei" w:eastAsia="Microsoft JhengHei" w:cs="Microsoft JhengHei"/>
          <w:b w:val="0"/>
          <w:i w:val="0"/>
          <w:color w:val="20262D"/>
          <w:sz w:val="18"/>
        </w:rPr>
        <w:t>合成案例以11份有效配對評量示範：平均前測62分、後測82分，增加20分；以70分為及格線，9人及格、2人未達。</w:t>
      </w:r>
    </w:p>
    <w:p>
      <w:pPr>
        <w:keepNext/>
        <w:keepLines/>
        <w:spacing w:before="80" w:after="40"/>
      </w:pPr>
      <w:r>
        <w:rPr>
          <w:rFonts w:ascii="Microsoft JhengHei" w:hAnsi="Microsoft JhengHei" w:eastAsia="Microsoft JhengHei" w:cs="Microsoft JhengHei"/>
          <w:b/>
          <w:i w:val="0"/>
          <w:color w:val="35485A"/>
          <w:sz w:val="17"/>
        </w:rPr>
        <w:t>表1 目標—評量—結果—差距—改善表（評量摘要）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872"/>
        <w:gridCol w:w="1944"/>
        <w:gridCol w:w="2736"/>
        <w:gridCol w:w="1872"/>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樣本／計算</w:t>
            </w:r>
          </w:p>
        </w:tc>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目標及差距</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後續處置</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前後測平均</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11份有效配對</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62→82；+20分</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門檻75；高7分</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保留同版測驗供比較</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達70分人數</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9／11名有效受評者</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及格率81.8%</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門檻80%；高1.8百分點；2人未達</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增加練習並依同規準複核</w:t>
            </w:r>
          </w:p>
        </w:tc>
      </w:tr>
    </w:tbl>
    <w:p>
      <w:pPr>
        <w:spacing w:after="20"/>
      </w:pPr>
    </w:p>
    <w:p>
      <w:pPr>
        <w:keepNext/>
        <w:spacing w:before="80" w:after="40"/>
      </w:pPr>
      <w:r>
        <w:rPr>
          <w:rFonts w:ascii="Microsoft JhengHei" w:hAnsi="Microsoft JhengHei" w:eastAsia="Microsoft JhengHei" w:cs="Microsoft JhengHei"/>
          <w:b/>
          <w:i w:val="0"/>
          <w:color w:val="35485A"/>
          <w:sz w:val="17"/>
        </w:rPr>
        <w:t>圖1 學習成果與滿意度摘要圖（合成示例，非協會實際紀錄）</w:t>
      </w:r>
    </w:p>
    <w:tbl>
      <w:tblPr>
        <w:tblStyle w:val="TableGrid"/>
        <w:tblW w:type="auto" w:w="0"/>
        <w:tblLayout w:type="fixed"/>
        <w:tblLook w:firstColumn="1" w:firstRow="1" w:lastColumn="0" w:lastRow="0" w:noHBand="0" w:noVBand="1" w:val="04A0"/>
        <w:jc w:val="center"/>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1180"/>
        <w:gridCol w:w="4680"/>
        <w:gridCol w:w="218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181"/>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46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量尺占比</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示例基準</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前測平均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62/100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比較值</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82/100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目標≥75</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達70分及格率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81.8%</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目標≥80%</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學員滿意度</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4.4/5</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目標≥4.2/5</w:t>
            </w:r>
          </w:p>
        </w:tc>
      </w:tr>
    </w:tbl>
    <w:p>
      <w:pPr>
        <w:keepLines/>
        <w:spacing w:after="80" w:line="264" w:lineRule="auto"/>
      </w:pPr>
      <w:r>
        <w:rPr>
          <w:rFonts w:ascii="Microsoft JhengHei" w:hAnsi="Microsoft JhengHei" w:eastAsia="Microsoft JhengHei" w:cs="Microsoft JhengHei"/>
          <w:b w:val="0"/>
          <w:i w:val="0"/>
          <w:color w:val="20262D"/>
          <w:sz w:val="17"/>
        </w:rPr>
        <w:t>長條按滿分量尺換算；滿意度以5分為滿分。精確結果見本節表格與第17節，全部均為合成示例。</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示例平均提升但仍有2份結果低於70分；群體目標達標不代表每位學員均達標。下一步回查題本、分數、有效樣本及評分規準原件。</w:t>
      </w:r>
    </w:p>
    <w:p>
      <w:pPr>
        <w:pStyle w:val="Heading1"/>
        <w:keepNext/>
        <w:keepLines/>
        <w:spacing w:before="180" w:after="60"/>
      </w:pPr>
      <w:r>
        <w:rPr>
          <w:rFonts w:ascii="Microsoft JhengHei" w:hAnsi="Microsoft JhengHei" w:eastAsia="Microsoft JhengHei" w:cs="Microsoft JhengHei"/>
          <w:b/>
          <w:i w:val="0"/>
          <w:color w:val="000000"/>
          <w:sz w:val="28"/>
        </w:rPr>
        <w:t>13 學員與講師回饋</w:t>
      </w:r>
    </w:p>
    <w:p>
      <w:pPr>
        <w:keepLines/>
        <w:spacing w:after="80" w:line="264" w:lineRule="auto"/>
      </w:pPr>
      <w:r>
        <w:rPr>
          <w:rFonts w:ascii="Microsoft JhengHei" w:hAnsi="Microsoft JhengHei" w:eastAsia="Microsoft JhengHei" w:cs="Microsoft JhengHei"/>
          <w:b w:val="0"/>
          <w:i w:val="0"/>
          <w:color w:val="20262D"/>
          <w:sz w:val="18"/>
        </w:rPr>
        <w:t>合成案例含10份有效學員量表，平均4.4/5；7份選擇希望增加情境操作或步驟提示。另以不具名授課角色示範提示卡建議，並非真人發言。</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592"/>
        <w:gridCol w:w="3096"/>
        <w:gridCol w:w="2664"/>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來源</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與目標／評量關係</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學員滿意度</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10份；平均4.4/5</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高於示例門檻4.2/5。</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問卷、量表、計算表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學員改進建議</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7/10份希望增加操作或提示</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呼應2份評量未達的補強假設。</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逐題回覆原件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授課角色回饋</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示例摘要：增加步驟提示卡。</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供修訂教案，不是根因定論。</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實際授課者回饋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回饋與評量形成可追查線索，但沒有真實原始回覆可證因果。下一步以真實問卷及授課檢討原件核實樣本與建議。</w:t>
      </w:r>
    </w:p>
    <w:p>
      <w:pPr>
        <w:pStyle w:val="Heading1"/>
        <w:keepNext/>
        <w:keepLines/>
        <w:spacing w:before="180" w:after="60"/>
      </w:pPr>
      <w:r>
        <w:rPr>
          <w:rFonts w:ascii="Microsoft JhengHei" w:hAnsi="Microsoft JhengHei" w:eastAsia="Microsoft JhengHei" w:cs="Microsoft JhengHei"/>
          <w:b/>
          <w:i w:val="0"/>
          <w:color w:val="000000"/>
          <w:sz w:val="28"/>
        </w:rPr>
        <w:t>14 異常事項及處理</w:t>
      </w:r>
    </w:p>
    <w:p>
      <w:pPr>
        <w:keepLines/>
        <w:spacing w:after="80" w:line="264" w:lineRule="auto"/>
      </w:pPr>
      <w:r>
        <w:rPr>
          <w:rFonts w:ascii="Microsoft JhengHei" w:hAnsi="Microsoft JhengHei" w:eastAsia="Microsoft JhengHei" w:cs="Microsoft JhengHei"/>
          <w:b w:val="0"/>
          <w:i w:val="0"/>
          <w:color w:val="20262D"/>
          <w:sz w:val="18"/>
        </w:rPr>
        <w:t>安全事件與學習差距分開管理；測驗未達不記作傷害或事故。合成案例傷害事件在本稿各處一致為0件。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015"/>
        <w:gridCol w:w="3168"/>
        <w:gridCol w:w="3096"/>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登錄類型</w:t>
            </w:r>
          </w:p>
        </w:tc>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處理／判讀</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實際紀錄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傷害事件</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0件</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合成案例狀態，非協會安全實績。</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事故／近失通報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停課或重大中斷</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示例依2日排程完成。</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授課日誌、異動紀錄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學習差距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2份未達70分</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轉入第17至19節分析與改善。</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分數、輔導、複測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出勤差距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缺勤2人次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核對聯繫、補課與結訓規則。</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簽到及聯繫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未把未達分數或缺勤掩蓋為「無異常」；示例分流到學習與班務改善。下一步依真實通報、簽到及處理紀錄更新並確認結案。</w:t>
      </w:r>
    </w:p>
    <w:p>
      <w:pPr>
        <w:pStyle w:val="Heading1"/>
        <w:keepNext/>
        <w:keepLines/>
        <w:spacing w:before="180" w:after="60"/>
      </w:pPr>
      <w:r>
        <w:rPr>
          <w:rFonts w:ascii="Microsoft JhengHei" w:hAnsi="Microsoft JhengHei" w:eastAsia="Microsoft JhengHei" w:cs="Microsoft JhengHei"/>
          <w:b/>
          <w:i w:val="0"/>
          <w:color w:val="000000"/>
          <w:sz w:val="28"/>
        </w:rPr>
        <w:t>15 安全／法規／個資</w:t>
      </w:r>
    </w:p>
    <w:p>
      <w:pPr>
        <w:keepLines/>
        <w:spacing w:after="80" w:line="264" w:lineRule="auto"/>
      </w:pPr>
      <w:r>
        <w:rPr>
          <w:rFonts w:ascii="Microsoft JhengHei" w:hAnsi="Microsoft JhengHei" w:eastAsia="Microsoft JhengHei" w:cs="Microsoft JhengHei"/>
          <w:b w:val="0"/>
          <w:i w:val="0"/>
          <w:color w:val="20262D"/>
          <w:sz w:val="18"/>
        </w:rPr>
        <w:t>本稿不判定協會或任何人具特定資格，也不提供診斷或治療主張；真實開班前須核查法規、課程範圍與安全要求。</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2808"/>
        <w:gridCol w:w="2664"/>
        <w:gridCol w:w="3024"/>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控制面向</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結案檢視</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合成案例呈現</w:t>
            </w:r>
          </w:p>
        </w:tc>
        <w:tc>
          <w:tcPr>
            <w:tcW w:type="dxa" w:w="30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課程界線</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內容是否符合適用規範</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不作診斷或治療；僅為示例。</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課程審查及資格核實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學員安全</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提醒、停止條件、求助及通報</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合成案例傷害事件0件；非實際紀錄。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安全說明、場勘、事故及近失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個人資料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目的、告知、存取、保存及刪除</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示例僅展示彙總數、不列真人資料。</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告知同意、權限及保存規則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第三方資料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師資、場地、費用及合作證明</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不生成仿真證書、簽章、報價或合約。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第三方原件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示例建立查核點，不能替代法規判斷或安全紀錄。下一步完成真實課程及個資審核，並收集課前說明、場地點檢與事件紀錄。</w:t>
      </w:r>
    </w:p>
    <w:p>
      <w:pPr>
        <w:pStyle w:val="Heading1"/>
        <w:keepNext/>
        <w:keepLines/>
        <w:spacing w:before="180" w:after="60"/>
      </w:pPr>
      <w:r>
        <w:rPr>
          <w:rFonts w:ascii="Microsoft JhengHei" w:hAnsi="Microsoft JhengHei" w:eastAsia="Microsoft JhengHei" w:cs="Microsoft JhengHei"/>
          <w:b/>
          <w:i w:val="0"/>
          <w:color w:val="000000"/>
          <w:sz w:val="28"/>
        </w:rPr>
        <w:t>16 訓後追蹤安排</w:t>
      </w:r>
    </w:p>
    <w:p>
      <w:pPr>
        <w:keepLines/>
        <w:spacing w:after="80" w:line="264" w:lineRule="auto"/>
      </w:pPr>
      <w:r>
        <w:rPr>
          <w:rFonts w:ascii="Microsoft JhengHei" w:hAnsi="Microsoft JhengHei" w:eastAsia="Microsoft JhengHei" w:cs="Microsoft JhengHei"/>
          <w:b w:val="0"/>
          <w:i w:val="0"/>
          <w:color w:val="20262D"/>
          <w:sz w:val="18"/>
        </w:rPr>
        <w:t>合成方案在結訓後第30日啟動追蹤，詢問學習應用、障礙及支援；不表示已聯繫任何學員或取得成效。</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3456"/>
        <w:gridCol w:w="2880"/>
        <w:gridCol w:w="20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追蹤欄位</w:t>
            </w:r>
          </w:p>
        </w:tc>
        <w:tc>
          <w:tcPr>
            <w:tcW w:type="dxa" w:w="34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可直接使用的問題</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時點／判讀</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應用情境</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您在哪種情境運用本班學習？</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結訓後第30日啟動；不預設有應用。</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實際追蹤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執行障礙</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遇到哪些限制、風險或不清楚之處？</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分類為知識、技能、設備、規範或其他。</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所需支援</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需要補充練習、教材或其他協助嗎？</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回連第18節改善及下班設計。</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決議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回覆與處理</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日期、方式、紀錄位置、處理人、結論</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建立原件定位及覆核欄。</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未產生真實資料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追蹤用於檢視學習轉移，不以滿意度當唯一成效證據。下一步以真實結訓日計算追蹤時點並保存回覆。</w:t>
      </w:r>
    </w:p>
    <w:p>
      <w:pPr>
        <w:pStyle w:val="Heading1"/>
        <w:keepNext/>
        <w:keepLines/>
        <w:spacing w:before="180" w:after="60"/>
      </w:pPr>
      <w:r>
        <w:rPr>
          <w:rFonts w:ascii="Microsoft JhengHei" w:hAnsi="Microsoft JhengHei" w:eastAsia="Microsoft JhengHei" w:cs="Microsoft JhengHei"/>
          <w:b/>
          <w:i w:val="0"/>
          <w:color w:val="000000"/>
          <w:sz w:val="28"/>
        </w:rPr>
        <w:t>17 目標達成分析與問題根因</w:t>
      </w:r>
    </w:p>
    <w:p>
      <w:pPr>
        <w:keepNext/>
        <w:keepLines/>
        <w:spacing w:after="80" w:line="264" w:lineRule="auto"/>
      </w:pPr>
      <w:r>
        <w:rPr>
          <w:rFonts w:ascii="Microsoft JhengHei" w:hAnsi="Microsoft JhengHei" w:eastAsia="Microsoft JhengHei" w:cs="Microsoft JhengHei"/>
          <w:b w:val="0"/>
          <w:i w:val="0"/>
          <w:color w:val="20262D"/>
          <w:sz w:val="18"/>
        </w:rPr>
        <w:t>依第4節合成門檻判定；所有結果只針對案例。班級目標與個別差距分開呈現。</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224"/>
        <w:gridCol w:w="1843"/>
        <w:gridCol w:w="1655"/>
        <w:gridCol w:w="2044"/>
        <w:gridCol w:w="3168"/>
      </w:tblGrid>
      <w:tr>
        <w:trPr>
          <w:tblHeader w:val="true"/>
          <w:cantSplit/>
        </w:trPr>
        <w:tc>
          <w:tcPr>
            <w:tcW w:type="dxa" w:w="12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w:t>
            </w:r>
          </w:p>
        </w:tc>
        <w:tc>
          <w:tcPr>
            <w:tcW w:type="dxa" w:w="184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示例目標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204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差距／判定</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檢討及根因假設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G1 知識</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後測≥75/100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82/100</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+7分；達標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平均提升不排除個別題項差距。</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G2 評量</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及格率≥80%；70分線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9/11＝81.8%</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+1.8百分點；達標；2人未達</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提示或重複練習不足僅是假設。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G3 出席</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22/24＝91.7%</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+1.7百分點；達標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缺勤2人次須查原因及補課。</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G4 感受</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平均≥4.2/5</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4.4/5（10份）</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+0.2；達標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7/10希望更多情境練習。</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合成結論：4/4項班級目標達門檻，但2/11名有效受評者未達70分。7/10份合成回饋希望增加情境練習，形成待追查線索；「示範到獨立操作間提示與重複練習可能不足」只是待驗證假設，不是真實根因。</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示例班級層級達標、個人仍有差距，因果尚未驗證。下一步查題項、評分者紀錄及真實回饋，再以第18至19節措施檢驗。</w:t>
      </w:r>
    </w:p>
    <w:p>
      <w:pPr>
        <w:pStyle w:val="Heading1"/>
        <w:keepNext/>
        <w:keepLines/>
        <w:spacing w:before="180" w:after="60"/>
      </w:pPr>
      <w:r>
        <w:rPr>
          <w:rFonts w:ascii="Microsoft JhengHei" w:hAnsi="Microsoft JhengHei" w:eastAsia="Microsoft JhengHei" w:cs="Microsoft JhengHei"/>
          <w:b/>
          <w:i w:val="0"/>
          <w:color w:val="000000"/>
          <w:sz w:val="28"/>
        </w:rPr>
        <w:t>18 改善措施、責任人及期限</w:t>
      </w:r>
    </w:p>
    <w:p>
      <w:pPr>
        <w:keepLines/>
        <w:spacing w:after="80" w:line="264" w:lineRule="auto"/>
      </w:pPr>
      <w:r>
        <w:rPr>
          <w:rFonts w:ascii="Microsoft JhengHei" w:hAnsi="Microsoft JhengHei" w:eastAsia="Microsoft JhengHei" w:cs="Microsoft JhengHei"/>
          <w:b w:val="0"/>
          <w:i w:val="0"/>
          <w:color w:val="20262D"/>
          <w:sz w:val="18"/>
        </w:rPr>
        <w:t>以下是未核定的合成建議；責任採職能角色，期限採作業觸發點，真實人員、日期及決議待原件。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63"/>
        <w:gridCol w:w="1872"/>
        <w:gridCol w:w="1440"/>
        <w:gridCol w:w="2304"/>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問題／假設</w:t>
            </w:r>
          </w:p>
        </w:tc>
        <w:tc>
          <w:tcPr>
            <w:tcW w:type="dxa" w:w="256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合成改善措施</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責任角色（非真人）</w:t>
            </w:r>
          </w:p>
        </w:tc>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示例期限</w:t>
            </w:r>
          </w:p>
        </w:tc>
        <w:tc>
          <w:tcPr>
            <w:tcW w:type="dxa" w:w="23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驗證／狀態</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2/11未達70分；練習不足待驗</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增加20分鐘結構化練習及步驟檢核卡。</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課程設計＋授課角色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下一班教案確認前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同一70分規準；未核定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7/10希望更多情境操作</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加入情境題及兩人互檢欄，記錄卡點。</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授課＋行政支援角色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教材定稿前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逐題回饋；未執行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示例支出少400元</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比對真實核定額、憑證及科目，說明差異。</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財務承辦角色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結案送審前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帳簿、憑證及覆核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措施回應學習、回饋及財務差異，尚非協會決議。下一步取得核定，填入真人責任者、日期及完成證據。</w:t>
      </w:r>
    </w:p>
    <w:p>
      <w:pPr>
        <w:pStyle w:val="Heading1"/>
        <w:keepNext/>
        <w:keepLines/>
        <w:spacing w:before="180" w:after="60"/>
      </w:pPr>
      <w:r>
        <w:rPr>
          <w:rFonts w:ascii="Microsoft JhengHei" w:hAnsi="Microsoft JhengHei" w:eastAsia="Microsoft JhengHei" w:cs="Microsoft JhengHei"/>
          <w:b/>
          <w:i w:val="0"/>
          <w:color w:val="000000"/>
          <w:sz w:val="28"/>
        </w:rPr>
        <w:t>19 下一班驗證</w:t>
      </w:r>
    </w:p>
    <w:p>
      <w:pPr>
        <w:keepLines/>
        <w:spacing w:after="80" w:line="264" w:lineRule="auto"/>
      </w:pPr>
      <w:r>
        <w:rPr>
          <w:rFonts w:ascii="Microsoft JhengHei" w:hAnsi="Microsoft JhengHei" w:eastAsia="Microsoft JhengHei" w:cs="Microsoft JhengHei"/>
          <w:b w:val="0"/>
          <w:i w:val="0"/>
          <w:color w:val="20262D"/>
          <w:sz w:val="18"/>
        </w:rPr>
        <w:t>只在真實課程、師資、場地、安全及經費完成核定後執行；不得預填下一班成果。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3240"/>
        <w:gridCol w:w="2736"/>
        <w:gridCol w:w="244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改善項目</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下一班測量方式</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示例判準／基線</w:t>
            </w:r>
          </w:p>
        </w:tc>
        <w:tc>
          <w:tcPr>
            <w:tcW w:type="dxa" w:w="24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結果欄位</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結構化練習</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同一規準；記錄有效樣本、及格人數與未達項目。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及格率≥90%；對照案例81.8%。</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原始分數、分母、覆核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情境回饋</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同量表記錄練習充分度及待支援項目。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滿意度≥4.2/5並比較具體建議。</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問卷、樣本、彙總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出席及資源</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簽到、場地與角色紀錄核對。</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出席率≥90%；逐項計畫實際比較。</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簽到及資源表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課後轉移</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依真實結訓日安排第30日追蹤。</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記錄應用、障礙及支援，不預設結果。</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沿用同一口徑比對並保存分母、原始資料及覆核者；90%與4.2/5都是示例判準，不是未來已達結果。</w:t>
      </w:r>
    </w:p>
    <w:p>
      <w:pPr>
        <w:pStyle w:val="Heading1"/>
        <w:keepNext/>
        <w:keepLines/>
        <w:spacing w:before="180" w:after="60"/>
      </w:pPr>
      <w:r>
        <w:rPr>
          <w:rFonts w:ascii="Microsoft JhengHei" w:hAnsi="Microsoft JhengHei" w:eastAsia="Microsoft JhengHei" w:cs="Microsoft JhengHei"/>
          <w:b/>
          <w:i w:val="0"/>
          <w:color w:val="000000"/>
          <w:sz w:val="28"/>
        </w:rPr>
        <w:t>20 附件與證據索引</w:t>
      </w:r>
    </w:p>
    <w:p>
      <w:pPr>
        <w:keepNext/>
        <w:keepLines/>
        <w:spacing w:after="80" w:line="264" w:lineRule="auto"/>
      </w:pPr>
      <w:r>
        <w:rPr>
          <w:rFonts w:ascii="Microsoft JhengHei" w:hAnsi="Microsoft JhengHei" w:eastAsia="Microsoft JhengHei" w:cs="Microsoft JhengHei"/>
          <w:b w:val="0"/>
          <w:i w:val="0"/>
          <w:color w:val="20262D"/>
          <w:sz w:val="18"/>
        </w:rPr>
        <w:t>本索引是待填的定位表，不把工作稿包裝成附件原件。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604"/>
        <w:gridCol w:w="3671"/>
        <w:gridCol w:w="1296"/>
        <w:gridCol w:w="2188"/>
        <w:gridCol w:w="2390"/>
      </w:tblGrid>
      <w:tr>
        <w:trPr>
          <w:tblHeader w:val="true"/>
          <w:cantSplit/>
        </w:trPr>
        <w:tc>
          <w:tcPr>
            <w:tcW w:type="dxa" w:w="60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項次</w:t>
            </w:r>
          </w:p>
        </w:tc>
        <w:tc>
          <w:tcPr>
            <w:tcW w:type="dxa" w:w="36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需索引原件</w:t>
            </w:r>
          </w:p>
        </w:tc>
        <w:tc>
          <w:tcPr>
            <w:tcW w:type="dxa" w:w="12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章節</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位置／狀態</w:t>
            </w:r>
          </w:p>
        </w:tc>
        <w:tc>
          <w:tcPr>
            <w:tcW w:type="dxa" w:w="239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覆核</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需求調查、開課決策及核定課程</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名冊、班表、逐次簽到及缺席補課</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5–6</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師資資格、聘任、教案及授課日誌</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7–8</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場地、設備點檢、安全說明及事件紀錄</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9、14–15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5</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核定預算、會計憑證、付款及分類帳</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10–11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6</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試卷、規準、原始分數及成績彙總</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12、17</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學員／講師問卷、檢討及改善決議</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13、17–19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追蹤、下一班驗證及完成證據</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16、18–19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個資告知、核定簽章及第三方真實文件</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15、21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每項判讀都有預定原件類型；表內章節不是外部證據位置。下一步建立受控附件索引並逐筆確認完整性與真偽。</w:t>
      </w:r>
    </w:p>
    <w:p>
      <w:pPr>
        <w:pStyle w:val="Heading1"/>
        <w:keepNext/>
        <w:keepLines/>
        <w:spacing w:before="0" w:after="0"/>
      </w:pPr>
      <w:r>
        <w:rPr>
          <w:rFonts w:ascii="Microsoft JhengHei" w:hAnsi="Microsoft JhengHei" w:eastAsia="Microsoft JhengHei" w:cs="Microsoft JhengHei"/>
          <w:b/>
          <w:i w:val="0"/>
          <w:color w:val="000000"/>
          <w:sz w:val="28"/>
        </w:rPr>
        <w:t>21 審查與核定</w:t>
      </w:r>
    </w:p>
    <w:p>
      <w:pPr>
        <w:keepLines/>
        <w:spacing w:after="80" w:line="264" w:lineRule="auto"/>
      </w:pPr>
      <w:r>
        <w:rPr>
          <w:rFonts w:ascii="Microsoft JhengHei" w:hAnsi="Microsoft JhengHei" w:eastAsia="Microsoft JhengHei" w:cs="Microsoft JhengHei"/>
          <w:b w:val="0"/>
          <w:i w:val="0"/>
          <w:color w:val="20262D"/>
          <w:sz w:val="18"/>
        </w:rPr>
        <w:t>本節不預填真人、決議、簽章或日期；本次建置不構成協會審查。</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6192"/>
        <w:gridCol w:w="2160"/>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程序欄位</w:t>
            </w:r>
          </w:p>
        </w:tc>
        <w:tc>
          <w:tcPr>
            <w:tcW w:type="dxa" w:w="61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應填內容</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目前狀態</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編製</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姓名／職務、日期、依據原件</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覆核者、數據及附件查核結果、日期</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核定預算、憑證、差異原因及帳務結論</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審查決議</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會議／審查編號、決議、未結事項</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核定／簽章</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有權核定者、日期、簽章或正式紀錄</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真實編製、覆核及核定欄完成前，維持合成示範稿。下一步依權責流程取得簽核原件，不由示例推定批准。</w:t>
      </w:r>
    </w:p>
    <w:p>
      <w:pPr>
        <w:pStyle w:val="Heading1"/>
        <w:keepNext/>
        <w:keepLines/>
        <w:spacing w:before="180" w:after="60"/>
      </w:pPr>
      <w:r>
        <w:rPr>
          <w:rFonts w:ascii="Microsoft JhengHei" w:hAnsi="Microsoft JhengHei" w:eastAsia="Microsoft JhengHei" w:cs="Microsoft JhengHei"/>
          <w:b/>
          <w:i w:val="0"/>
          <w:color w:val="000000"/>
          <w:sz w:val="28"/>
        </w:rPr>
        <w:t>22 指標15：成果檢討與改善補入真實資料檢核與替換清單</w:t>
      </w:r>
    </w:p>
    <w:p>
      <w:pPr>
        <w:keepLines/>
        <w:spacing w:after="80" w:line="264" w:lineRule="auto"/>
      </w:pPr>
      <w:r>
        <w:rPr>
          <w:rFonts w:ascii="Microsoft JhengHei" w:hAnsi="Microsoft JhengHei" w:eastAsia="Microsoft JhengHei" w:cs="Microsoft JhengHei"/>
          <w:b w:val="0"/>
          <w:i w:val="0"/>
          <w:color w:val="20262D"/>
          <w:sz w:val="18"/>
        </w:rPr>
        <w:t>正式使用前逐項以真實原始資料替換，保留來源、版本、計算口徑及覆核者；缺項維持 尚待補入正式原始資料。</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756"/>
        <w:gridCol w:w="2376"/>
        <w:gridCol w:w="4392"/>
        <w:gridCol w:w="1655"/>
      </w:tblGrid>
      <w:tr>
        <w:trPr>
          <w:tblHeader w:val="true"/>
          <w:cantSplit/>
        </w:trPr>
        <w:tc>
          <w:tcPr>
            <w:tcW w:type="dxa" w:w="175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待替換欄位</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本稿合成例</w:t>
            </w:r>
          </w:p>
        </w:tc>
        <w:tc>
          <w:tcPr>
            <w:tcW w:type="dxa" w:w="43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須取得真實原件／查核</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班別、課程、日期</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示範班；2026-06-18至19</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核定課程、班次、正式課表、授課日期</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需求、目標、方法</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四項門檻與需求假設</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調查、核定目標、教案與規準版本</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學員及出勤</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12人；應到24；實到22</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名冊、簽到、缺席／補課、結訓資格</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師資與資源</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授課角色1、支援角色1、場地2日</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人員資格、分工、場地及設備紀錄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評量與回饋</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11份評量；9人及格；10份回饋</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原始試卷、分數、問卷、計算表</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財務收支</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規劃18,000元；支出17,600元</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核定預算、憑證、付款、分類帳</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安全與個資</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傷害事件0件；中斷0次</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事故、近失、安全、個資及存取紀錄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追蹤與改善</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結訓後第30日；增加20分鐘練習</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追蹤、決議、責任人、日期、完成證據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審查、核定、附件位置</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未填真人、簽章或外部原件</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覆核／核定紀錄與真實檔名、頁碼、路徑</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0" w:after="0"/>
        <w:pageBreakBefore/>
      </w:pPr>
      <w:r>
        <w:rPr>
          <w:rFonts w:ascii="Microsoft JhengHei" w:hAnsi="Microsoft JhengHei" w:eastAsia="Microsoft JhengHei" w:cs="Microsoft JhengHei"/>
          <w:b/>
          <w:i w:val="0"/>
          <w:color w:val="35485A"/>
          <w:sz w:val="17"/>
        </w:rPr>
        <w:t>結案問題的示例回答與直接定位</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5112"/>
        <w:gridCol w:w="3384"/>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問題</w:t>
            </w:r>
          </w:p>
        </w:tc>
        <w:tc>
          <w:tcPr>
            <w:tcW w:type="dxa" w:w="51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僅就合成案例的回答</w:t>
            </w:r>
          </w:p>
        </w:tc>
        <w:tc>
          <w:tcPr>
            <w:tcW w:type="dxa" w:w="33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直接定位／正式替換</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目標是否達成？</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4項示例目標均達門檻；2/11份評量未達70分。</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第17節；換入真實目標及評量。</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未達真正原因？</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班級目標無未達項；個人差距原因未證實，練習提示不足只是待驗假設。</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第13、17節；查題項、回饋及授課紀錄。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資源與財務合理？</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資源量與排程相符；少400元、差異率-2.2%，原因待憑證確認。</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第10、11節；補預算、帳簿、憑證及覆核。</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下一班怎驗證？</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加20分鐘結構化練習，以同規準檢查及格率是否達90%，並比較回饋及第30日追蹤。</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第18、19節；下一班結果尚未發生。</w:t>
            </w:r>
          </w:p>
        </w:tc>
      </w:tr>
      <w:tr>
        <w:trPr>
          <w:cantSplit/>
        </w:trPr>
        <w:tc>
          <w:tcPr>
            <w:tcW w:type="dxa" w:w="1800"/>
            <w:vAlign w:val="center"/>
            <w:tcMar>
              <w:top w:w="65" w:type="dxa"/>
              <w:start w:w="80" w:type="dxa"/>
              <w:bottom w:w="65" w:type="dxa"/>
              <w:end w:w="80" w:type="dxa"/>
            </w:tcMar>
          </w:tcPr>
          <w:p>
            <w:pPr>
              <w:keepLines/>
              <w:spacing w:after="0" w:before="0" w:line="245" w:lineRule="auto"/>
            </w:pPr>
            <w:r>
              <w:t>哪裡直接證明指標15：成果檢討與改善？</w:t>
            </w:r>
            <w:r>
              <w:rPr>
                <w:rFonts w:ascii="Microsoft JhengHei" w:hAnsi="Microsoft JhengHei" w:eastAsia="Microsoft JhengHei" w:cs="Microsoft JhengHei"/>
                <w:b w:val="0"/>
                <w:i w:val="0"/>
                <w:color w:val="20262D"/>
                <w:sz w:val="17"/>
              </w:rPr>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第2節追溯表連到資源、財務、成果及改善；第10至19節承接分析。</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以第20節真實原件索引及第21節核定紀錄升格。</w:t>
            </w:r>
          </w:p>
        </w:tc>
      </w:tr>
    </w:tbl>
    <w:p>
      <w:pPr>
        <w:spacing w:after="20"/>
      </w:pPr>
    </w:p>
    <w:p>
      <w:pPr>
        <w:keepNext/>
        <w:keepLines/>
        <w:spacing w:after="80" w:line="264" w:lineRule="auto"/>
      </w:pPr>
      <w:r>
        <w:rPr>
          <w:rFonts w:ascii="Microsoft JhengHei" w:hAnsi="Microsoft JhengHei" w:eastAsia="Microsoft JhengHei" w:cs="Microsoft JhengHei"/>
          <w:b w:val="0"/>
          <w:i w:val="0"/>
          <w:color w:val="20262D"/>
          <w:sz w:val="17"/>
        </w:rPr>
        <w:t>結案決策摘要（僅就示例）：出席率91.7%、及格率81.8%、後測平均82/100及滿意度4.4/5達示例門檻；兩份未達70分的評量及練習建議仍形成改進事項。預算由18,000元對照17,600元，差額-400元、差異率-2.2%，四科目加總相符。直接證據鏈為第2節追溯表→第10、11節資源財務→第12、13、17節成果回饋→第18、19節改善驗證→第20、21節原件索引核定。正式結案須逐列替換真實資料後再覆核。</w:t>
      </w:r>
    </w:p>
    <w:p>
      <w:pPr>
        <w:keepLines/>
        <w:spacing w:before="20" w:after="120"/>
      </w:pPr>
      <w:r>
        <w:rPr>
          <w:rFonts w:ascii="Microsoft JhengHei" w:hAnsi="Microsoft JhengHei" w:eastAsia="Microsoft JhengHei" w:cs="Microsoft JhengHei"/>
          <w:b/>
          <w:i w:val="0"/>
          <w:color w:val="31465A"/>
          <w:sz w:val="17"/>
        </w:rPr>
        <w:t>判讀／處置與下一步：本節提供替換清單、判讀、改善驗證及官方要求的直接證據路徑；缺少原件的欄位是未完成的補入真實資料工作，不是核定結論。</w:t>
      </w:r>
      <w:r>
        <w:rPr>
          <w:rFonts w:ascii="Microsoft JhengHei" w:hAnsi="Microsoft JhengHei" w:eastAsia="Microsoft JhengHei" w:cs="Microsoft JhengHei"/>
          <w:b w:val="0"/>
          <w:i w:val="0"/>
          <w:color w:val="20262D"/>
          <w:sz w:val="17"/>
        </w:rPr>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9" w:h="16834"/>
      <w:pgMar w:top="922"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C6670"/>
        <w:sz w:val="15"/>
      </w:rPr>
      <w:t>合成示範稿 ｜ 真實原件與核定資料 尚待補入正式原始資料 ｜ 指標15：成果檢討與改善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i w:val="0"/>
        <w:color w:val="9C2F2F"/>
        <w:sz w:val="16"/>
      </w:rPr>
      <w:t>合成示例，非協會實際紀錄</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訓練班級完整結案報告</dc:title>
  <dc:subject>可讀性修訂工作稿；真實狀態與原始證據界線依正文標示</dc:subject>
  <dc:creator>OpenAI Codex Builder</dc:creator>
  <cp:keywords>I15-E02, SYNTHETIC EXAMPLE, DRAFT_SYNTHETIC; sequence_id=0066; requirement_id=I15-E02; source_candidate_sha256=a94983b0a38fa350a2a8e759477aa62ebce35f8d973391d29c07c6dca8e4357c</cp:keywords>
  <dc:description>R06 single layout-only repair. Pagination settings keep section 20 with its evidence index, section 17 with its full table, and the closing replacement register balanced across final pages; no substantive content changed.</dc:description>
  <cp:lastModifiedBy/>
  <cp:revision>1</cp:revision>
  <dcterms:created xsi:type="dcterms:W3CDTF">2013-12-23T23:15:00Z</dcterms:created>
  <dcterms:modified xsi:type="dcterms:W3CDTF">2013-12-23T23:15:00Z</dcterms:modified>
  <cp:category/>
</cp:coreProperties>
</file>