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依反應評估提出課程改善行動方案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I17A-E03｜指標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將真實反應評估證據轉成原因分析、改善措施、核定、執行與效果驗證。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由具體回饋或問卷資料提出行動；沒有資料時保留待填，不預判成果。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依反應評估進行課程改善的行動方案。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一、反應評估資料與改善判讀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本方案須由實際滿意度問卷、課後回饋或檢討證據提出。先辨識意見來源、期間、樣本與資料限制，再區分個別偏好、重複主題及可改善問題；空白方案不是已核定或已執行的改善。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2376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來源／題目／期間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原始意見或統計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樣本與資料限制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課程關聯／初步判讀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[待填；附編號]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[待填母數／缺漏]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二、原因分析與行動方案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664"/>
        <w:gridCol w:w="2448"/>
        <w:gridCol w:w="1872"/>
        <w:gridCol w:w="146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問題／改善編號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可能原因及證據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行動／里程碑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負責角色／資源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期限／核定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[待分析；區分事實與假設]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三、成效驗證與課程修訂追蹤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232"/>
        <w:gridCol w:w="2232"/>
        <w:gridCol w:w="182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驗證指標／基準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資料來源／期間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目標／判定條件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實際結果／證據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決定／追蹤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[待訂定並核定]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[待核定；不可事後改標準]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[實際驗證後填]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[待訂定]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[實際驗證後填]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2376"/>
        <w:gridCol w:w="2765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方案狀態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提案／審議／核定日期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實際執行證據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效果覆核與後續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[草案／待審議／已核定／執行中／完成；據實選填]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[待填；不得預簽]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[尚待原始資料]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[待驗證]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