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訓練班次結案報告－問卷分析與後續開課建議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I17A-E02｜指標 17｜草案：待確認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整理單一班次的問卷統計、課程規劃歷程、執行差異及後續開課建議。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以實際班次及版本為單位，逐項連結原始問卷、規劃及核定資料。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課程結案報告（含問卷調查統計分析、課程規劃紀錄等含對後續課程的開課建議事項）。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一、班次基本資料與結案範圍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本報告專供單一實際訓練班次結案，重點包括問卷統計分析、課程規劃與版本歷程及後續開課建議。尚未開班、未取得原始資料或未完成核定時，各欄保持待填；本表不代表班次已辦理或成果已發生。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28"/>
        <w:gridCol w:w="6365"/>
      </w:tblGrid>
      <w:tr>
        <w:trPr>
          <w:tblHeader w:val="true"/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實際資料／證據編號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課程名稱／代碼／版本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班次、日期、地點／授課方式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[實際辦理後填]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目標對象與核定名額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[待填；附核定依據]</w:t>
            </w:r>
          </w:p>
        </w:tc>
      </w:tr>
      <w:tr>
        <w:trPr>
          <w:cantSplit/>
        </w:trPr>
        <w:tc>
          <w:tcPr>
            <w:tcW w:type="dxa" w:w="35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結案資料期間／編製與覆核角色</w:t>
            </w:r>
          </w:p>
        </w:tc>
        <w:tc>
          <w:tcPr>
            <w:tcW w:type="dxa" w:w="636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[待填／待核定]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二、課程規劃歷程與實際執行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2520"/>
        <w:gridCol w:w="2448"/>
        <w:gridCol w:w="1800"/>
        <w:gridCol w:w="1613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版本／日期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規劃依據／需求來源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課程目標／內容變更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審查／核定狀態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原件位置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[待取得原始需求]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[依版本差異填寫]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  <w:tc>
          <w:tcPr>
            <w:tcW w:type="dxa" w:w="161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384"/>
        <w:gridCol w:w="3341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計畫與實際差異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原因／變更依據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審議決定／附件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[待比對]</w:t>
            </w:r>
          </w:p>
        </w:tc>
        <w:tc>
          <w:tcPr>
            <w:tcW w:type="dxa" w:w="33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[待分析]</w:t>
            </w:r>
          </w:p>
        </w:tc>
        <w:tc>
          <w:tcPr>
            <w:tcW w:type="dxa" w:w="334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c>
          <w:tcPr>
            <w:tcW w:type="dxa" w:w="3168"/>
          </w:tcPr>
          <w:p>
            <w:r>
              <w:t>出勤與結訓</w:t>
            </w:r>
          </w:p>
        </w:tc>
        <w:tc>
          <w:tcPr>
            <w:tcW w:type="dxa" w:w="3384"/>
          </w:tcPr>
          <w:p>
            <w:r>
              <w:t>記應到、實到及完成數；出席率＝實到人次 ÷ 應到人次 × 100%。應到為 0 時列不適用，不填百分比。</w:t>
            </w:r>
          </w:p>
        </w:tc>
        <w:tc>
          <w:tcPr>
            <w:tcW w:type="dxa" w:w="3341"/>
          </w:tcPr>
          <w:p>
            <w:r>
              <w:t>[待補：核定名冊、簽到及結訓原件／位置]</w:t>
            </w:r>
          </w:p>
        </w:tc>
      </w:tr>
      <w:tr>
        <w:tc>
          <w:tcPr>
            <w:tcW w:type="dxa" w:w="3168"/>
          </w:tcPr>
          <w:p>
            <w:r>
              <w:t>學習目標與評量結果</w:t>
            </w:r>
          </w:p>
        </w:tc>
        <w:tc>
          <w:tcPr>
            <w:tcW w:type="dxa" w:w="3384"/>
          </w:tcPr>
          <w:p>
            <w:r>
              <w:t>對照核定目標、評量版本及門檻，列有效受評 N、達標人數與達標率；達標率＝達標人數 ÷ 有效受評人數 × 100%。N 為 0 時列不適用。</w:t>
            </w:r>
          </w:p>
        </w:tc>
        <w:tc>
          <w:tcPr>
            <w:tcW w:type="dxa" w:w="3341"/>
          </w:tcPr>
          <w:p>
            <w:r>
              <w:t>[待補：課程計畫、評量彙整及原件編號；個人試卷另存]</w:t>
            </w:r>
          </w:p>
        </w:tc>
      </w:tr>
    </w:tbl>
    <w:p>
      <w:pPr>
        <w:spacing w:after="10" w:line="132" w:lineRule="auto"/>
      </w:pPr>
    </w:p>
    <w:p>
      <w:pPr>
        <w:spacing w:before="0" w:after="0"/>
      </w:pPr>
      <w:r>
        <w:br w:type="page"/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三、問卷調查與統計分析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728"/>
        <w:gridCol w:w="2448"/>
        <w:gridCol w:w="2232"/>
        <w:gridCol w:w="1685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題目／構面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發放／有效份數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統計口徑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結果／限制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原件編號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[題目分布／核定量尺]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[待計算]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[取得原件後填]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[開放意見分類]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[待整理]</w:t>
            </w:r>
          </w:p>
        </w:tc>
        <w:tc>
          <w:tcPr>
            <w:tcW w:type="dxa" w:w="168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</w:tr>
      <w:tr>
        <w:tc>
          <w:tcPr>
            <w:tcW w:type="dxa" w:w="1800"/>
          </w:tcPr>
          <w:p>
            <w:r>
              <w:t>回收率／分項統計</w:t>
            </w:r>
          </w:p>
        </w:tc>
        <w:tc>
          <w:tcPr>
            <w:tcW w:type="dxa" w:w="1728"/>
          </w:tcPr>
          <w:p>
            <w:r>
              <w:t>[發放數、有效 N、核定量尺及逐題結果]</w:t>
            </w:r>
          </w:p>
        </w:tc>
        <w:tc>
          <w:tcPr>
            <w:tcW w:type="dxa" w:w="2448"/>
          </w:tcPr>
          <w:p>
            <w:r>
              <w:t>回收率＝有效問卷數 ÷ 可回覆對象數；按題列有效 N，僅在量尺核定時計算平均或 4–5 分正向率。</w:t>
            </w:r>
          </w:p>
        </w:tc>
        <w:tc>
          <w:tcPr>
            <w:tcW w:type="dxa" w:w="2232"/>
          </w:tcPr>
          <w:p>
            <w:r>
              <w:t>[待核算；不得推估或以缺答補值]</w:t>
            </w:r>
          </w:p>
        </w:tc>
        <w:tc>
          <w:tcPr>
            <w:tcW w:type="dxa" w:w="1685"/>
          </w:tcPr>
          <w:p>
            <w:r>
              <w:t>[待填問卷原件及統計表位置]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回收率＝有效問卷數 ÷ 可回覆對象數；如計算平均分或正向比例，須列明量尺、有效題數、分子分母及缺漏處理。未取得問卷原件時不填任何結果。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四、成果檢討與後續開課建議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448"/>
        <w:gridCol w:w="2880"/>
        <w:gridCol w:w="2477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檢討面向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實際證據／差異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開課建議或改善事項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決定／責任／追蹤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課程目標與評量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學員／講師回饋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資源、教材與安排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[待分析；待提出]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[待核定]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後續開課方向／市場需求</w:t>
            </w:r>
          </w:p>
        </w:tc>
        <w:tc>
          <w:tcPr>
            <w:tcW w:type="dxa" w:w="244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[待取得實際資料]</w:t>
            </w:r>
          </w:p>
        </w:tc>
        <w:tc>
          <w:tcPr>
            <w:tcW w:type="dxa" w:w="288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[待評估；不得預作決定]</w:t>
            </w:r>
          </w:p>
        </w:tc>
        <w:tc>
          <w:tcPr>
            <w:tcW w:type="dxa" w:w="24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[待審議]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573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結案附件／核對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內容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原始問卷、統計表、課程計畫各版本、審查／核定紀錄、班次執行及結案資料</w:t>
            </w:r>
          </w:p>
        </w:tc>
        <w:tc>
          <w:tcPr>
            <w:tcW w:type="dxa" w:w="557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[逐項編號與保存位置待填]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6"/>
        </w:rPr>
        <w:t>資料與真實性：本稿依官方查核要求設計，尚須本會依實際制度、資料及權責審議補正。未填資料不表示稽核、課程、問卷、回饋、改善、核定或成果已發生。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