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目標客戶及學員訓練效用調查與成果評量工作表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留下目標客戶及學員對課程用途與實用性的具體回覆，區分感受、滿意度與能力成果。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依實際參訓／服務對象發放；每題依親身經驗回答，沒有經驗選「無法判斷」。</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先看受訪身分與課程，再看效用題、開放意見及回收分母。</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目前沒有可核實的本批課程、客戶或學員回覆。本表是調查工具，不表示訓練已有成效。</w:t>
            </w:r>
          </w:p>
        </w:tc>
      </w:tr>
    </w:tbl>
    <w:p>
      <w:pPr>
        <w:spacing w:after="0" w:before="0" w:line="20" w:lineRule="exact"/>
      </w:pPr>
    </w:p>
    <w:p>
      <w:pPr>
        <w:keepLines/>
      </w:pPr>
      <w:r>
        <w:rPr>
          <w:rFonts w:ascii="Microsoft JhengHei" w:hAnsi="Microsoft JhengHei" w:eastAsia="Microsoft JhengHei"/>
          <w:b w:val="0"/>
          <w:color w:val="24364B"/>
          <w:sz w:val="22"/>
        </w:rPr>
        <w:t>對應查核項目：口述目標客戶及學員認為訓練有其功能，僅有滿意度調查，但未有具體紀錄及評量。</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本件待補：課程與對象資料、實際回覆原件、回收分母、分析及個資同意。</w:t>
      </w:r>
    </w:p>
    <w:p>
      <w:pPr>
        <w:pStyle w:val="Heading1"/>
        <w:keepNext/>
      </w:pPr>
      <w:r>
        <w:rPr>
          <w:rFonts w:ascii="Microsoft JhengHei" w:hAnsi="Microsoft JhengHei" w:eastAsia="Microsoft JhengHei"/>
          <w:b/>
          <w:color w:val="183B63"/>
          <w:sz w:val="30"/>
        </w:rPr>
        <w:t>一、填答說明與識別</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填答者類型</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 □目標客戶／委託單位 □雇主／主管 □其他：[待補]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課程／班次代碼</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[待補；尚無班次時留白]</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填答時點</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□課後 □追蹤 □其他：[待填]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匿名／去識別方式</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[待補；只收分析所需資料]</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自願性</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參與與否不影響錄取、成績、服務或權益。</w:t>
            </w:r>
          </w:p>
        </w:tc>
      </w:tr>
    </w:tbl>
    <w:p>
      <w:pPr>
        <w:spacing w:after="0" w:before="0" w:line="20" w:lineRule="exact"/>
      </w:pPr>
    </w:p>
    <w:p>
      <w:pPr>
        <w:keepLines/>
      </w:pPr>
      <w:r>
        <w:rPr>
          <w:rFonts w:ascii="Microsoft JhengHei" w:hAnsi="Microsoft JhengHei" w:eastAsia="Microsoft JhengHei"/>
          <w:b w:val="0"/>
          <w:color w:val="24364B"/>
          <w:sz w:val="22"/>
        </w:rPr>
        <w:t>效用感受量表：1＝非常不同意；2＝不同意；3＝普通；4＝同意；5＝非常同意；「未接觸／無法判斷」不計平均。滿意度與能力提升分開記錄，不能由本表單獨證明客觀能力或績效。</w:t>
      </w:r>
    </w:p>
    <w:p>
      <w:pPr>
        <w:pStyle w:val="Heading1"/>
        <w:keepNext/>
      </w:pPr>
      <w:r>
        <w:rPr>
          <w:rFonts w:ascii="Microsoft JhengHei" w:hAnsi="Microsoft JhengHei" w:eastAsia="Microsoft JhengHei"/>
          <w:b/>
          <w:color w:val="183B63"/>
          <w:sz w:val="30"/>
        </w:rPr>
        <w:t>二、訓練用途與實用性</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61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8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課程內容與我／單位事前需求相關</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我能說明本課程想協助的工作或學習問題</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課程中至少有一項內容可在適用情境使用</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我知道運用所學時應遵守的安全與非醫療界線</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課程提供的練習或回饋有助理解</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我能指出尚需加強或需要更多支持的部分</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整體而言，課程用途符合事前說明</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三、滿意度與意見（另行判讀）</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61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05"/>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8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整體學習／服務安排滿意度</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資訊、教材或溝通安排清楚</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61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意見表達及個人資料處理方式可理解</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05"/>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8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四、開放回覆</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32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問題</w:t>
            </w:r>
          </w:p>
        </w:tc>
        <w:tc>
          <w:tcPr>
            <w:tcW w:type="dxa" w:w="676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最有用途的一項內容及原因</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[待填；不要求正面回覆]</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實際使用或仍未使用的情境</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[待填；未使用可說明原因]</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你認為能力或工作表現有何變化</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[待填；只記自述，不等同客觀測量]</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需要改善的內容</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w:t>
            </w:r>
          </w:p>
        </w:tc>
      </w:tr>
      <w:tr>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可佐證的位置／文件</w:t>
            </w:r>
          </w:p>
        </w:tc>
        <w:tc>
          <w:tcPr>
            <w:tcW w:type="dxa" w:w="67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[待補；未提供時標示未提供]</w:t>
            </w:r>
          </w:p>
        </w:tc>
      </w:tr>
    </w:tbl>
    <w:p>
      <w:pPr>
        <w:spacing w:after="0" w:before="0" w:line="20" w:lineRule="exact"/>
      </w:pPr>
    </w:p>
    <w:p>
      <w:pPr>
        <w:pStyle w:val="Heading1"/>
        <w:keepNext/>
        <w:spacing w:before="160" w:after="60"/>
      </w:pPr>
      <w:r>
        <w:t>五、母體、樣本與資料血緣</w:t>
      </w:r>
    </w:p>
    <w:p>
      <w:pPr>
        <w:keepLines/>
        <w:spacing w:after="80"/>
      </w:pPr>
      <w:r>
        <w:t>目前沒有可核實的本批回覆或成果原始資料；下表只建立計算欄位，不代表已發放、回收或達成任何成果。依同一課程及期間分列目標客戶／委託單位與學員，核對名冊、邀請數、有效回覆及排除原因。</w:t>
      </w:r>
    </w:p>
    <w:tbl>
      <w:tblPr>
        <w:tblStyle w:val="TableGrid"/>
        <w:tblW w:type="auto" w:w="0"/>
        <w:tblLayout w:type="autofit"/>
        <w:tblLook w:firstColumn="1" w:firstRow="1" w:lastColumn="0" w:lastRow="0" w:noHBand="0" w:noVBand="1" w:val="04A0"/>
      </w:tblPr>
      <w:tblGrid>
        <w:gridCol w:w="1668"/>
        <w:gridCol w:w="1668"/>
        <w:gridCol w:w="1668"/>
        <w:gridCol w:w="1668"/>
        <w:gridCol w:w="1668"/>
        <w:gridCol w:w="1668"/>
      </w:tblGrid>
      <w:tr>
        <w:trPr>
          <w:cantSplit/>
          <w:tblHeader w:val="true"/>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調查對象</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符合資格 N</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邀請數</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有效回覆 n</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回收率 n/N</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未回覆／排除理由</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學員</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目標客戶／委託單位</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bl>
    <w:p>
      <w:pPr>
        <w:pStyle w:val="Heading1"/>
        <w:keepNext/>
        <w:spacing w:before="160" w:after="60"/>
      </w:pPr>
      <w:r>
        <w:t>六、成果指標與結果計算</w:t>
      </w:r>
    </w:p>
    <w:p>
      <w:pPr>
        <w:keepLines/>
        <w:spacing w:after="80"/>
      </w:pPr>
      <w:r>
        <w:t>效用感受與滿意度分開計算；自述感受不等同客觀能力或組織績效。成果標準與比較期間應在判讀前確認；沒有核定目標、可比基準或有效分母時，明確標示未設定／無法計算。</w:t>
      </w:r>
    </w:p>
    <w:tbl>
      <w:tblPr>
        <w:tblStyle w:val="TableGrid"/>
        <w:tblW w:type="auto" w:w="0"/>
        <w:tblLayout w:type="autofit"/>
        <w:tblLook w:firstColumn="1" w:firstRow="1" w:lastColumn="0" w:lastRow="0" w:noHBand="0" w:noVBand="1" w:val="04A0"/>
      </w:tblPr>
      <w:tblGrid>
        <w:gridCol w:w="2001"/>
        <w:gridCol w:w="2001"/>
        <w:gridCol w:w="2001"/>
        <w:gridCol w:w="2001"/>
        <w:gridCol w:w="2001"/>
      </w:tblGrid>
      <w:tr>
        <w:trPr>
          <w:cantSplit/>
          <w:tblHeader w:val="true"/>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指標</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分子／分母與計算口徑</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基準期／來源</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追蹤期／來源</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實績／目標／證據位置</w:t>
            </w:r>
          </w:p>
        </w:tc>
      </w:tr>
      <w:tr>
        <w:trPr>
          <w:cantSplit/>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訓練效用感受正向率</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效用題4–5分有效回答數／效用題有效回答數</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[待計／待核]</w:t>
            </w:r>
          </w:p>
        </w:tc>
      </w:tr>
      <w:tr>
        <w:trPr>
          <w:cantSplit/>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滿意度正向率（另列）</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滿意題4–5分有效回答數／滿意題有效回答數</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[待計／待核]</w:t>
            </w:r>
          </w:p>
        </w:tc>
      </w:tr>
      <w:tr>
        <w:trPr>
          <w:cantSplit/>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符合預先定義成果率</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符合事前成果條件人數／可評估人數；列明條件</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[待計／待核]</w:t>
            </w:r>
          </w:p>
        </w:tc>
      </w:tr>
      <w:tr>
        <w:trPr>
          <w:cantSplit/>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可比變化率（適用時）</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（追蹤值－基準值）／基準值；同口徑可配對資料才計算</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[待計；不適用時註明]</w:t>
            </w:r>
          </w:p>
        </w:tc>
      </w:tr>
    </w:tbl>
    <w:p>
      <w:pPr>
        <w:keepLines/>
        <w:spacing w:after="80"/>
      </w:pPr>
      <w:r>
        <w:t>若基準值為零、前後量尺不同、對象無法配對或分母口徑不一致，不計算變化率；改列原始數與限制。任何圖表須標 n、期間、量尺與來源。</w:t>
      </w:r>
    </w:p>
    <w:p>
      <w:pPr>
        <w:pStyle w:val="Heading1"/>
        <w:keepNext/>
        <w:spacing w:before="160" w:after="60"/>
      </w:pPr>
      <w:r>
        <w:t>七、具體個案與佐證</w:t>
      </w:r>
    </w:p>
    <w:p>
      <w:pPr>
        <w:keepLines/>
        <w:spacing w:after="80"/>
      </w:pPr>
      <w:r>
        <w:t>僅在取得當事人同意及可核實的前後資料後，以去識別代碼記錄個案；不填推測案例，不記錄不必要的健康或身分資料。</w:t>
      </w:r>
    </w:p>
    <w:tbl>
      <w:tblPr>
        <w:tblStyle w:val="TableGrid"/>
        <w:tblW w:type="auto" w:w="0"/>
        <w:tblLayout w:type="autofit"/>
        <w:tblLook w:firstColumn="1" w:firstRow="1" w:lastColumn="0" w:lastRow="0" w:noHBand="0" w:noVBand="1" w:val="04A0"/>
      </w:tblPr>
      <w:tblGrid>
        <w:gridCol w:w="2001"/>
        <w:gridCol w:w="2001"/>
        <w:gridCol w:w="2001"/>
        <w:gridCol w:w="2001"/>
        <w:gridCol w:w="2001"/>
      </w:tblGrid>
      <w:tr>
        <w:trPr>
          <w:cantSplit/>
          <w:tblHeader w:val="true"/>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匿名代碼</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前狀態／基準</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訓練或行動／期間</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後狀態／指標</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原始佐證位置／覆核</w:t>
            </w:r>
          </w:p>
        </w:tc>
      </w:tr>
      <w:tr>
        <w:trPr>
          <w:cantSplit/>
        </w:trPr>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[待取得]</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[待實際紀錄]</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[待取得]</w:t>
            </w:r>
          </w:p>
        </w:tc>
        <w:tc>
          <w:tcPr>
            <w:tcW w:type="dxa" w:w="20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bl>
    <w:p>
      <w:pPr>
        <w:pStyle w:val="Heading1"/>
        <w:keepNext/>
        <w:spacing w:before="160" w:after="60"/>
      </w:pPr>
      <w:r>
        <w:t>八、信度、限制與交叉驗證</w:t>
      </w:r>
    </w:p>
    <w:tbl>
      <w:tblPr>
        <w:tblStyle w:val="TableGrid"/>
        <w:tblW w:type="auto" w:w="0"/>
        <w:tblLayout w:type="autofit"/>
        <w:tblLook w:firstColumn="1" w:firstRow="1" w:lastColumn="0" w:lastRow="0" w:noHBand="0" w:noVBand="1" w:val="04A0"/>
      </w:tblPr>
      <w:tblGrid>
        <w:gridCol w:w="5003"/>
        <w:gridCol w:w="5003"/>
      </w:tblGrid>
      <w:tr>
        <w:trPr>
          <w:cantSplit/>
          <w:tblHeader w:val="true"/>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判讀項目</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填寫與判斷規則</w:t>
            </w:r>
          </w:p>
        </w:tc>
      </w:tr>
      <w:tr>
        <w:trPr>
          <w:cantSplit/>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資料完整性</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列明受邀、回覆、有效及排除數；未回覆與無效資料不得當作負面或正面結果。</w:t>
            </w:r>
          </w:p>
        </w:tc>
      </w:tr>
      <w:tr>
        <w:trPr>
          <w:cantSplit/>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自述與客觀成果</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本表自述只能呈現感受；能力或工作表現須另有適用的前後評量、觀察紀錄或第三方佐證。</w:t>
            </w:r>
          </w:p>
        </w:tc>
      </w:tr>
      <w:tr>
        <w:trPr>
          <w:cantSplit/>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比較及歸因</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列明基準、追蹤期間及量尺；同時說明職務、設備、經驗或其他因素。單一問卷不能單獨證明因果。</w:t>
            </w:r>
          </w:p>
        </w:tc>
      </w:tr>
      <w:tr>
        <w:trPr>
          <w:cantSplit/>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交叉驗證</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與第17項調查／執行資料及第19項成果資料核對；共用原始資料時引用同一位置，不複製或重算不同數字。</w:t>
            </w:r>
          </w:p>
        </w:tc>
      </w:tr>
      <w:tr>
        <w:trPr>
          <w:cantSplit/>
        </w:trPr>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信度與限制</w:t>
            </w:r>
          </w:p>
        </w:tc>
        <w:tc>
          <w:tcPr>
            <w:tcW w:type="dxa" w:w="5003"/>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說明題目理解、回覆偏差、樣本數及資料限制；無法核實時標示「待補」或「無法判定」。</w:t>
            </w:r>
          </w:p>
        </w:tc>
      </w:tr>
    </w:tbl>
    <w:p>
      <w:pPr>
        <w:pStyle w:val="Heading1"/>
        <w:keepNext/>
        <w:spacing w:before="160" w:after="60"/>
      </w:pPr>
      <w:r>
        <w:t>九、改善／擴散決策與後續驗證</w:t>
      </w:r>
    </w:p>
    <w:tbl>
      <w:tblPr>
        <w:tblStyle w:val="TableGrid"/>
        <w:tblW w:type="auto" w:w="0"/>
        <w:tblLayout w:type="autofit"/>
        <w:tblLook w:firstColumn="1" w:firstRow="1" w:lastColumn="0" w:lastRow="0" w:noHBand="0" w:noVBand="1" w:val="04A0"/>
      </w:tblPr>
      <w:tblGrid>
        <w:gridCol w:w="2501"/>
        <w:gridCol w:w="2501"/>
        <w:gridCol w:w="2501"/>
        <w:gridCol w:w="2501"/>
      </w:tblGrid>
      <w:tr>
        <w:trPr>
          <w:cantSplit/>
          <w:tblHeader w:val="true"/>
        </w:trPr>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發現與資料位置</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改善／擴散決策</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負責人／期限</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後續驗證指標／日期／結果</w:t>
            </w:r>
          </w:p>
        </w:tc>
      </w:tr>
      <w:tr>
        <w:trPr>
          <w:cantSplit/>
        </w:trPr>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[待實際結果]</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[待核定；未核定不填為既成決議]</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[待追蹤]</w:t>
            </w:r>
          </w:p>
        </w:tc>
      </w:tr>
    </w:tbl>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spacing w:after="0"/>
            </w:pPr>
            <w:r/>
            <w:r>
              <w:rPr>
                <w:sz w:val="18"/>
              </w:rPr>
              <w:t>要求／項目</w:t>
            </w:r>
          </w:p>
        </w:tc>
        <w:tc>
          <w:tcPr>
            <w:tcW w:type="dxa" w:w="1944"/>
            <w:vAlign w:val="center"/>
            <w:shd w:fill="DCEAF5"/>
            <w:tcMar>
              <w:top w:w="85" w:type="dxa"/>
              <w:start w:w="95" w:type="dxa"/>
              <w:bottom w:w="85" w:type="dxa"/>
              <w:end w:w="95" w:type="dxa"/>
            </w:tcMar>
          </w:tcPr>
          <w:p>
            <w:pPr>
              <w:spacing w:after="0"/>
            </w:pPr>
            <w:r/>
            <w:r>
              <w:rPr>
                <w:sz w:val="18"/>
              </w:rPr>
              <w:t>資料來源</w:t>
            </w:r>
          </w:p>
        </w:tc>
        <w:tc>
          <w:tcPr>
            <w:tcW w:type="dxa" w:w="2376"/>
            <w:vAlign w:val="center"/>
            <w:shd w:fill="DCEAF5"/>
            <w:tcMar>
              <w:top w:w="85" w:type="dxa"/>
              <w:start w:w="95" w:type="dxa"/>
              <w:bottom w:w="85" w:type="dxa"/>
              <w:end w:w="95" w:type="dxa"/>
            </w:tcMar>
          </w:tcPr>
          <w:p>
            <w:pPr>
              <w:spacing w:after="0"/>
            </w:pPr>
            <w:r/>
            <w:r>
              <w:rPr>
                <w:sz w:val="18"/>
              </w:rPr>
              <w:t>欄位／指標與結果</w:t>
            </w:r>
          </w:p>
        </w:tc>
        <w:tc>
          <w:tcPr>
            <w:tcW w:type="dxa" w:w="1512"/>
            <w:vAlign w:val="center"/>
            <w:shd w:fill="DCEAF5"/>
            <w:tcMar>
              <w:top w:w="85" w:type="dxa"/>
              <w:start w:w="95" w:type="dxa"/>
              <w:bottom w:w="85" w:type="dxa"/>
              <w:end w:w="95" w:type="dxa"/>
            </w:tcMar>
          </w:tcPr>
          <w:p>
            <w:pPr>
              <w:spacing w:after="0"/>
            </w:pPr>
            <w:r/>
            <w:r>
              <w:rPr>
                <w:sz w:val="18"/>
              </w:rPr>
              <w:t>證據位置</w:t>
            </w:r>
          </w:p>
        </w:tc>
        <w:tc>
          <w:tcPr>
            <w:tcW w:type="dxa" w:w="2088"/>
            <w:vAlign w:val="center"/>
            <w:shd w:fill="DCEAF5"/>
            <w:tcMar>
              <w:top w:w="85" w:type="dxa"/>
              <w:start w:w="95" w:type="dxa"/>
              <w:bottom w:w="85" w:type="dxa"/>
              <w:end w:w="95" w:type="dxa"/>
            </w:tcMar>
          </w:tcPr>
          <w:p>
            <w:pPr>
              <w:spacing w:after="0"/>
            </w:pPr>
            <w:r/>
            <w:r>
              <w:rPr>
                <w:sz w:val="18"/>
              </w:rPr>
              <w:t>覆核／狀態</w:t>
            </w:r>
          </w:p>
        </w:tc>
      </w:tr>
      <w:tr>
        <w:tc>
          <w:tcPr>
            <w:tcW w:type="dxa" w:w="2088"/>
            <w:vAlign w:val="center"/>
            <w:tcMar>
              <w:top w:w="85" w:type="dxa"/>
              <w:start w:w="95" w:type="dxa"/>
              <w:bottom w:w="85" w:type="dxa"/>
              <w:end w:w="95" w:type="dxa"/>
            </w:tcMar>
          </w:tcPr>
          <w:p>
            <w:pPr>
              <w:spacing w:after="0"/>
            </w:pPr>
            <w:r/>
            <w:r>
              <w:rPr>
                <w:sz w:val="18"/>
              </w:rPr>
              <w:t>調查母體與同意</w:t>
            </w:r>
          </w:p>
        </w:tc>
        <w:tc>
          <w:tcPr>
            <w:tcW w:type="dxa" w:w="1944"/>
            <w:vAlign w:val="center"/>
            <w:tcMar>
              <w:top w:w="85" w:type="dxa"/>
              <w:start w:w="95" w:type="dxa"/>
              <w:bottom w:w="85" w:type="dxa"/>
              <w:end w:w="95" w:type="dxa"/>
            </w:tcMar>
          </w:tcPr>
          <w:p>
            <w:pPr>
              <w:spacing w:after="0"/>
            </w:pPr>
            <w:r/>
            <w:r>
              <w:rPr>
                <w:sz w:val="18"/>
              </w:rPr>
              <w:t>對象名冊、課程與同意紀錄</w:t>
            </w:r>
          </w:p>
        </w:tc>
        <w:tc>
          <w:tcPr>
            <w:tcW w:type="dxa" w:w="2376"/>
            <w:vAlign w:val="center"/>
            <w:tcMar>
              <w:top w:w="85" w:type="dxa"/>
              <w:start w:w="95" w:type="dxa"/>
              <w:bottom w:w="85" w:type="dxa"/>
              <w:end w:w="95" w:type="dxa"/>
            </w:tcMar>
          </w:tcPr>
          <w:p>
            <w:pPr>
              <w:spacing w:after="0"/>
            </w:pPr>
            <w:r/>
            <w:r>
              <w:rPr>
                <w:sz w:val="18"/>
              </w:rPr>
              <w:t>符合資格 N、邀請與回覆數</w:t>
            </w:r>
          </w:p>
        </w:tc>
        <w:tc>
          <w:tcPr>
            <w:tcW w:type="dxa" w:w="1512"/>
            <w:vAlign w:val="center"/>
            <w:tcMar>
              <w:top w:w="85" w:type="dxa"/>
              <w:start w:w="95" w:type="dxa"/>
              <w:bottom w:w="85" w:type="dxa"/>
              <w:end w:w="95" w:type="dxa"/>
            </w:tcMar>
          </w:tcPr>
          <w:p>
            <w:pPr>
              <w:spacing w:after="0"/>
            </w:pPr>
            <w:r/>
            <w:r>
              <w:rPr>
                <w:sz w:val="18"/>
              </w:rPr>
              <w:t>[待補]</w:t>
            </w:r>
          </w:p>
        </w:tc>
        <w:tc>
          <w:tcPr>
            <w:tcW w:type="dxa" w:w="2088"/>
            <w:vAlign w:val="center"/>
            <w:tcMar>
              <w:top w:w="85" w:type="dxa"/>
              <w:start w:w="95" w:type="dxa"/>
              <w:bottom w:w="85" w:type="dxa"/>
              <w:end w:w="95" w:type="dxa"/>
            </w:tcMar>
          </w:tcPr>
          <w:p>
            <w:pPr>
              <w:spacing w:after="0"/>
            </w:pPr>
            <w:r/>
            <w:r>
              <w:rPr>
                <w:sz w:val="18"/>
              </w:rPr>
              <w:t>□核對 □待補</w:t>
            </w:r>
          </w:p>
        </w:tc>
      </w:tr>
      <w:tr>
        <w:tc>
          <w:tcPr>
            <w:tcW w:type="dxa" w:w="2088"/>
            <w:vAlign w:val="center"/>
            <w:tcMar>
              <w:top w:w="85" w:type="dxa"/>
              <w:start w:w="95" w:type="dxa"/>
              <w:bottom w:w="85" w:type="dxa"/>
              <w:end w:w="95" w:type="dxa"/>
            </w:tcMar>
          </w:tcPr>
          <w:p>
            <w:pPr>
              <w:spacing w:after="0"/>
            </w:pPr>
            <w:r/>
            <w:r>
              <w:rPr>
                <w:sz w:val="18"/>
              </w:rPr>
              <w:t>效用／滿意度原件</w:t>
            </w:r>
          </w:p>
        </w:tc>
        <w:tc>
          <w:tcPr>
            <w:tcW w:type="dxa" w:w="1944"/>
            <w:vAlign w:val="center"/>
            <w:tcMar>
              <w:top w:w="85" w:type="dxa"/>
              <w:start w:w="95" w:type="dxa"/>
              <w:bottom w:w="85" w:type="dxa"/>
              <w:end w:w="95" w:type="dxa"/>
            </w:tcMar>
          </w:tcPr>
          <w:p>
            <w:pPr>
              <w:spacing w:after="0"/>
            </w:pPr>
            <w:r/>
            <w:r>
              <w:rPr>
                <w:sz w:val="18"/>
              </w:rPr>
              <w:t>實際問卷原件</w:t>
            </w:r>
          </w:p>
        </w:tc>
        <w:tc>
          <w:tcPr>
            <w:tcW w:type="dxa" w:w="2376"/>
            <w:vAlign w:val="center"/>
            <w:tcMar>
              <w:top w:w="85" w:type="dxa"/>
              <w:start w:w="95" w:type="dxa"/>
              <w:bottom w:w="85" w:type="dxa"/>
              <w:end w:w="95" w:type="dxa"/>
            </w:tcMar>
          </w:tcPr>
          <w:p>
            <w:pPr>
              <w:spacing w:after="0"/>
            </w:pPr>
            <w:r/>
            <w:r>
              <w:rPr>
                <w:sz w:val="18"/>
              </w:rPr>
              <w:t>分題有效 n、效用與滿意度分開計算</w:t>
            </w:r>
          </w:p>
        </w:tc>
        <w:tc>
          <w:tcPr>
            <w:tcW w:type="dxa" w:w="1512"/>
            <w:vAlign w:val="center"/>
            <w:tcMar>
              <w:top w:w="85" w:type="dxa"/>
              <w:start w:w="95" w:type="dxa"/>
              <w:bottom w:w="85" w:type="dxa"/>
              <w:end w:w="95" w:type="dxa"/>
            </w:tcMar>
          </w:tcPr>
          <w:p>
            <w:pPr>
              <w:spacing w:after="0"/>
            </w:pPr>
            <w:r/>
            <w:r>
              <w:rPr>
                <w:sz w:val="18"/>
              </w:rPr>
              <w:t>[尚無回覆]</w:t>
            </w:r>
          </w:p>
        </w:tc>
        <w:tc>
          <w:tcPr>
            <w:tcW w:type="dxa" w:w="2088"/>
            <w:vAlign w:val="center"/>
            <w:tcMar>
              <w:top w:w="85" w:type="dxa"/>
              <w:start w:w="95" w:type="dxa"/>
              <w:bottom w:w="85" w:type="dxa"/>
              <w:end w:w="95" w:type="dxa"/>
            </w:tcMar>
          </w:tcPr>
          <w:p>
            <w:pPr>
              <w:spacing w:after="0"/>
            </w:pPr>
            <w:r/>
            <w:r>
              <w:rPr>
                <w:sz w:val="18"/>
              </w:rPr>
              <w:t>□待取得</w:t>
            </w:r>
          </w:p>
        </w:tc>
      </w:tr>
      <w:tr>
        <w:tc>
          <w:tcPr>
            <w:tcW w:type="dxa" w:w="2001"/>
          </w:tcPr>
          <w:p>
            <w:pPr>
              <w:spacing w:after="0"/>
            </w:pPr>
            <w:r/>
            <w:r>
              <w:rPr>
                <w:sz w:val="18"/>
              </w:rPr>
              <w:t>成果與個案佐證</w:t>
            </w:r>
          </w:p>
        </w:tc>
        <w:tc>
          <w:tcPr>
            <w:tcW w:type="dxa" w:w="2001"/>
          </w:tcPr>
          <w:p>
            <w:pPr>
              <w:spacing w:after="0"/>
            </w:pPr>
            <w:r/>
            <w:r>
              <w:rPr>
                <w:sz w:val="18"/>
              </w:rPr>
              <w:t>前後評量、行動或適用第三方紀錄</w:t>
            </w:r>
          </w:p>
        </w:tc>
        <w:tc>
          <w:tcPr>
            <w:tcW w:type="dxa" w:w="2001"/>
          </w:tcPr>
          <w:p>
            <w:pPr>
              <w:spacing w:after="0"/>
            </w:pPr>
            <w:r/>
            <w:r>
              <w:rPr>
                <w:sz w:val="18"/>
              </w:rPr>
              <w:t>基準、追蹤、分子／分母與差異</w:t>
            </w:r>
          </w:p>
        </w:tc>
        <w:tc>
          <w:tcPr>
            <w:tcW w:type="dxa" w:w="2001"/>
          </w:tcPr>
          <w:p>
            <w:pPr>
              <w:spacing w:after="0"/>
            </w:pPr>
            <w:r/>
            <w:r>
              <w:rPr>
                <w:sz w:val="18"/>
              </w:rPr>
              <w:t>[待補]</w:t>
            </w:r>
          </w:p>
        </w:tc>
        <w:tc>
          <w:tcPr>
            <w:tcW w:type="dxa" w:w="2001"/>
          </w:tcPr>
          <w:p>
            <w:pPr>
              <w:spacing w:after="0"/>
            </w:pPr>
            <w:r/>
            <w:r>
              <w:rPr>
                <w:sz w:val="18"/>
              </w:rPr>
              <w:t>□待取得／覆核</w:t>
            </w:r>
          </w:p>
        </w:tc>
      </w:tr>
      <w:tr>
        <w:tc>
          <w:tcPr>
            <w:tcW w:type="dxa" w:w="2001"/>
          </w:tcPr>
          <w:p>
            <w:pPr>
              <w:spacing w:after="0"/>
            </w:pPr>
            <w:r/>
            <w:r>
              <w:rPr>
                <w:sz w:val="18"/>
              </w:rPr>
              <w:t>限制、交叉驗證與改善</w:t>
            </w:r>
          </w:p>
        </w:tc>
        <w:tc>
          <w:tcPr>
            <w:tcW w:type="dxa" w:w="2001"/>
          </w:tcPr>
          <w:p>
            <w:pPr>
              <w:spacing w:after="0"/>
            </w:pPr>
            <w:r/>
            <w:r>
              <w:rPr>
                <w:sz w:val="18"/>
              </w:rPr>
              <w:t>核對紀錄及核定決策</w:t>
            </w:r>
          </w:p>
        </w:tc>
        <w:tc>
          <w:tcPr>
            <w:tcW w:type="dxa" w:w="2001"/>
          </w:tcPr>
          <w:p>
            <w:pPr>
              <w:spacing w:after="0"/>
            </w:pPr>
            <w:r/>
            <w:r>
              <w:rPr>
                <w:sz w:val="18"/>
              </w:rPr>
              <w:t>排除理由、替代因素、措施與追蹤</w:t>
            </w:r>
          </w:p>
        </w:tc>
        <w:tc>
          <w:tcPr>
            <w:tcW w:type="dxa" w:w="2001"/>
          </w:tcPr>
          <w:p>
            <w:pPr>
              <w:spacing w:after="0"/>
            </w:pPr>
            <w:r/>
            <w:r>
              <w:rPr>
                <w:sz w:val="18"/>
              </w:rPr>
              <w:t>[待補]</w:t>
            </w:r>
          </w:p>
        </w:tc>
        <w:tc>
          <w:tcPr>
            <w:tcW w:type="dxa" w:w="2001"/>
          </w:tcPr>
          <w:p>
            <w:pPr>
              <w:spacing w:after="0"/>
            </w:pPr>
            <w:r/>
            <w:r>
              <w:rPr>
                <w:sz w:val="18"/>
              </w:rPr>
              <w:t>□待建立</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目標客戶及學員訓練效用感受調查表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