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訓練後能力提升回饋問卷與佐證表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分別記錄學員與目標客戶對能力變化的評價，並連結可核對的訓前後資料。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先定義能力項目與觀察期間；主觀評價、客觀評量及第三方觀察分開填寫。</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先看能力定義與基準，再看回饋題、證據位置及配對樣本分母。</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目前沒有本批訓前後測驗、學員回覆或客戶能力提升紀錄。本表不表示能力已提升。</w:t>
            </w:r>
          </w:p>
        </w:tc>
      </w:tr>
    </w:tbl>
    <w:p>
      <w:pPr>
        <w:spacing w:after="0" w:before="0" w:line="20" w:lineRule="exact"/>
      </w:pPr>
    </w:p>
    <w:p>
      <w:pPr>
        <w:keepLines/>
      </w:pPr>
      <w:r>
        <w:rPr>
          <w:rFonts w:ascii="Microsoft JhengHei" w:hAnsi="Microsoft JhengHei" w:eastAsia="Microsoft JhengHei"/>
          <w:b w:val="0"/>
          <w:color w:val="24364B"/>
          <w:sz w:val="22"/>
        </w:rPr>
        <w:t>對應查核項目：問卷調查等顯示目標客戶及學員認為訓練有達成能力提升的效果。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本件待補：核定課程職能、訓前基線、訓後回覆、客觀評量、配對樣本與第三方證據。</w:t>
      </w:r>
    </w:p>
    <w:p>
      <w:pPr>
        <w:pStyle w:val="Heading1"/>
        <w:keepNext/>
      </w:pPr>
      <w:r>
        <w:rPr>
          <w:rFonts w:ascii="Microsoft JhengHei" w:hAnsi="Microsoft JhengHei" w:eastAsia="Microsoft JhengHei"/>
          <w:b/>
          <w:color w:val="183B63"/>
          <w:sz w:val="30"/>
        </w:rPr>
        <w:t>一、填答人與測量基準</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6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3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班次／學員代碼</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[待補；去識別]</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填答人</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 □目標客戶 □主管／雇主 □其他：[待補]</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能力項目與標準</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[引用實際課程目標／評量規準，不適用項目不評]</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比較基準與觀察期間</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[待補；訓前日期／訓後日期或工作觀察期]</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資料同意與用途</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[待補；未取得前不蒐集可識別個資]</w:t>
            </w:r>
          </w:p>
        </w:tc>
      </w:tr>
    </w:tbl>
    <w:p>
      <w:pPr>
        <w:spacing w:after="0" w:before="0" w:line="20" w:lineRule="exact"/>
      </w:pPr>
    </w:p>
    <w:p>
      <w:pPr>
        <w:keepLines/>
      </w:pPr>
      <w:r>
        <w:rPr>
          <w:rFonts w:ascii="Microsoft JhengHei" w:hAnsi="Microsoft JhengHei" w:eastAsia="Microsoft JhengHei"/>
          <w:b w:val="0"/>
          <w:color w:val="24364B"/>
          <w:sz w:val="22"/>
        </w:rPr>
        <w:t>能力自評／觀察量表：1＝尚未能展現；2＝需大量提示；3＝可在協助下完成；4＝多數情境可獨立完成；5＝可穩定完成並說明依據。無法觀察／不適用不計平均；評分須對應同一項目及同一判準。</w:t>
      </w:r>
    </w:p>
    <w:p>
      <w:pPr>
        <w:pStyle w:val="Heading1"/>
        <w:keepNext/>
      </w:pPr>
      <w:r>
        <w:rPr>
          <w:rFonts w:ascii="Microsoft JhengHei" w:hAnsi="Microsoft JhengHei" w:eastAsia="Microsoft JhengHei"/>
          <w:b/>
          <w:color w:val="183B63"/>
          <w:sz w:val="30"/>
        </w:rPr>
        <w:t>二、訓前與訓後能力回饋</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能力項目</w:t>
            </w:r>
          </w:p>
        </w:tc>
        <w:tc>
          <w:tcPr>
            <w:tcW w:type="dxa" w:w="1613"/>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訓前1–5</w:t>
            </w:r>
          </w:p>
        </w:tc>
        <w:tc>
          <w:tcPr>
            <w:tcW w:type="dxa" w:w="1613"/>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訓後1–5</w:t>
            </w:r>
          </w:p>
        </w:tc>
        <w:tc>
          <w:tcPr>
            <w:tcW w:type="dxa" w:w="295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觀察依據／具體例子</w:t>
            </w:r>
          </w:p>
        </w:tc>
        <w:tc>
          <w:tcPr>
            <w:tcW w:type="dxa" w:w="159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來源類型</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[待填：引用課程職能]</w:t>
            </w:r>
          </w:p>
        </w:tc>
        <w:tc>
          <w:tcPr>
            <w:tcW w:type="dxa" w:w="1613"/>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□1 □2 □3 □4 □5 □NA</w:t>
            </w:r>
          </w:p>
        </w:tc>
        <w:tc>
          <w:tcPr>
            <w:tcW w:type="dxa" w:w="1613"/>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□1 □2 □3 □4 □5 □NA</w:t>
            </w:r>
          </w:p>
        </w:tc>
        <w:tc>
          <w:tcPr>
            <w:tcW w:type="dxa" w:w="29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9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□自評 □客戶 □主管</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613"/>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□1 □2 □3 □4 □5 □NA</w:t>
            </w:r>
          </w:p>
        </w:tc>
        <w:tc>
          <w:tcPr>
            <w:tcW w:type="dxa" w:w="1613"/>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□1 □2 □3 □4 □5 □NA</w:t>
            </w:r>
          </w:p>
        </w:tc>
        <w:tc>
          <w:tcPr>
            <w:tcW w:type="dxa" w:w="29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9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□自評 □客戶 □主管</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613"/>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□1 □2 □3 □4 □5 □NA</w:t>
            </w:r>
          </w:p>
        </w:tc>
        <w:tc>
          <w:tcPr>
            <w:tcW w:type="dxa" w:w="1613"/>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□1 □2 □3 □4 □5 □NA</w:t>
            </w:r>
          </w:p>
        </w:tc>
        <w:tc>
          <w:tcPr>
            <w:tcW w:type="dxa" w:w="29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9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□自評 □客戶 □主管</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613"/>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□1 □2 □3 □4 □5 □NA</w:t>
            </w:r>
          </w:p>
        </w:tc>
        <w:tc>
          <w:tcPr>
            <w:tcW w:type="dxa" w:w="1613"/>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□1 □2 □3 □4 □5 □NA</w:t>
            </w:r>
          </w:p>
        </w:tc>
        <w:tc>
          <w:tcPr>
            <w:tcW w:type="dxa" w:w="29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9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□自評 □客戶 □主管</w:t>
            </w:r>
          </w:p>
        </w:tc>
      </w:tr>
    </w:tbl>
    <w:p>
      <w:pPr>
        <w:spacing w:after="0" w:before="0" w:line="20" w:lineRule="exact"/>
      </w:pPr>
    </w:p>
    <w:p>
      <w:pPr>
        <w:pStyle w:val="Heading1"/>
        <w:keepNext/>
      </w:pPr>
      <w:r>
        <w:rPr>
          <w:rFonts w:ascii="Microsoft JhengHei" w:hAnsi="Microsoft JhengHei" w:eastAsia="Microsoft JhengHei"/>
          <w:b/>
          <w:color w:val="183B63"/>
          <w:sz w:val="30"/>
        </w:rPr>
        <w:t>三、可核對的能力證據</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證據種類</w:t>
            </w:r>
          </w:p>
        </w:tc>
        <w:tc>
          <w:tcPr>
            <w:tcW w:type="dxa" w:w="25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檔名／位置</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對應能力及判準</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覆核結果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前後測／實作評量</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□相符 □待核</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工作作品／學習任務</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□相符 □待核</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客戶／主管觀察</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[待補；具同意]</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□相符 □待核</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其他限制／替代解釋</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□已記錄 □待補</w:t>
            </w:r>
          </w:p>
        </w:tc>
      </w:tr>
    </w:tbl>
    <w:p>
      <w:pPr>
        <w:spacing w:after="0" w:before="0" w:line="20" w:lineRule="exact"/>
      </w:pPr>
    </w:p>
    <w:p>
      <w:pPr>
        <w:pStyle w:val="Heading1"/>
        <w:keepNext/>
      </w:pPr>
      <w:r>
        <w:rPr>
          <w:rFonts w:ascii="Microsoft JhengHei" w:hAnsi="Microsoft JhengHei" w:eastAsia="Microsoft JhengHei"/>
          <w:b/>
          <w:color w:val="183B63"/>
          <w:sz w:val="30"/>
        </w:rPr>
        <w:t>四、統計與判讀</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指標</w:t>
            </w:r>
          </w:p>
        </w:tc>
        <w:tc>
          <w:tcPr>
            <w:tcW w:type="dxa" w:w="59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計算方式／注意事項</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本次結果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有效配對數</w:t>
            </w:r>
          </w:p>
        </w:tc>
        <w:tc>
          <w:tcPr>
            <w:tcW w:type="dxa" w:w="59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訓前與訓後皆有同一識別碼、同一能力題的有效回覆數。</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配對平均差</w:t>
            </w:r>
          </w:p>
        </w:tc>
        <w:tc>
          <w:tcPr>
            <w:tcW w:type="dxa" w:w="59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每位有效配對的訓後分數減訓前分數；再計平均並列N。</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正向評價比例</w:t>
            </w:r>
          </w:p>
        </w:tc>
        <w:tc>
          <w:tcPr>
            <w:tcW w:type="dxa" w:w="59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明列判定門檻與有效回答分母；NA及未回覆另列。</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結論</w:t>
            </w:r>
          </w:p>
        </w:tc>
        <w:tc>
          <w:tcPr>
            <w:tcW w:type="dxa" w:w="59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感受／自評不等於客觀能力；主張能力提升需對照正式評量及其他來源。</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能力定義與前後評量</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待依實際課程建置</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學員／客戶回覆</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尚無實際回覆</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訓練後能力提升回饋問卷與佐證表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