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目標客戶及學員滿意度調查執行與分析報告表</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留存每次滿意度調查的執行過程、有效樣本、分群分析、限制及改善追蹤。</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調查完成後填寫並由另一角色覆核；無資料時保留空白，不以範例值代替。</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先看調查範圍與分母，再看題目摘要、意見分類與改善閉環。</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目前沒有本批實際調查或分析結果。本表是報告格式，不表示滿意度已有任何分數。</w:t>
            </w:r>
          </w:p>
        </w:tc>
      </w:tr>
    </w:tbl>
    <w:p>
      <w:pPr>
        <w:spacing w:after="0" w:before="0" w:line="20" w:lineRule="exact"/>
      </w:pPr>
    </w:p>
    <w:p>
      <w:pPr>
        <w:keepLines/>
      </w:pPr>
      <w:r>
        <w:rPr>
          <w:rFonts w:ascii="Microsoft JhengHei" w:hAnsi="Microsoft JhengHei" w:eastAsia="Microsoft JhengHei"/>
          <w:b w:val="0"/>
          <w:color w:val="24364B"/>
          <w:sz w:val="22"/>
        </w:rPr>
        <w:t>對應查核項目：執行目標客戶及學員滿意度調查及分析（系統及流程面）。</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本件待補：調查計畫與問卷版次、邀請名冊、有效回覆、原始資料、覆核及改善紀錄。</w:t>
      </w:r>
    </w:p>
    <w:p>
      <w:pPr>
        <w:pStyle w:val="Heading1"/>
        <w:keepNext/>
      </w:pPr>
      <w:r>
        <w:rPr>
          <w:rFonts w:ascii="Microsoft JhengHei" w:hAnsi="Microsoft JhengHei" w:eastAsia="Microsoft JhengHei"/>
          <w:b/>
          <w:color w:val="183B63"/>
          <w:sz w:val="30"/>
        </w:rPr>
        <w:t>一、調查基本資料</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6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欄位</w:t>
            </w:r>
          </w:p>
        </w:tc>
        <w:tc>
          <w:tcPr>
            <w:tcW w:type="dxa" w:w="73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填寫</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調查名稱／課程代碼</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調查對象分群</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□學員 □目標客戶 □委託單位 □其他；分開統計。</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調查期間／方式</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[待補：實際起訖／紙本或電子]</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問卷版本／題目範圍</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[待補；連結核定版問卷]</w:t>
            </w:r>
          </w:p>
        </w:tc>
      </w:tr>
      <w:tr>
        <w:tc>
          <w:tcPr>
            <w:tcW w:type="dxa" w:w="26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資料責任及覆核</w:t>
            </w:r>
          </w:p>
        </w:tc>
        <w:tc>
          <w:tcPr>
            <w:tcW w:type="dxa" w:w="73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[待補；由不同角色覆核計算]</w:t>
            </w:r>
          </w:p>
        </w:tc>
      </w:tr>
    </w:tbl>
    <w:p>
      <w:pPr>
        <w:spacing w:after="0" w:before="0" w:line="20" w:lineRule="exact"/>
      </w:pPr>
    </w:p>
    <w:p>
      <w:pPr>
        <w:pStyle w:val="Heading1"/>
        <w:keepNext/>
      </w:pPr>
      <w:r>
        <w:rPr>
          <w:rFonts w:ascii="Microsoft JhengHei" w:hAnsi="Microsoft JhengHei" w:eastAsia="Microsoft JhengHei"/>
          <w:b/>
          <w:color w:val="183B63"/>
          <w:sz w:val="30"/>
        </w:rPr>
        <w:t>二、樣本與回收分母</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對象群</w:t>
            </w:r>
          </w:p>
        </w:tc>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符合條件且受邀 N</w:t>
            </w:r>
          </w:p>
        </w:tc>
        <w:tc>
          <w:tcPr>
            <w:tcW w:type="dxa" w:w="122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回覆 n</w:t>
            </w:r>
          </w:p>
        </w:tc>
        <w:tc>
          <w:tcPr>
            <w:tcW w:type="dxa" w:w="122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有效 n</w:t>
            </w:r>
          </w:p>
        </w:tc>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無效／撤回</w:t>
            </w:r>
          </w:p>
        </w:tc>
        <w:tc>
          <w:tcPr>
            <w:tcW w:type="dxa" w:w="187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回收率 n/N</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學員</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目標客戶／委託單位</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其他適用對象</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[待算]</w:t>
            </w:r>
          </w:p>
        </w:tc>
      </w:tr>
    </w:tbl>
    <w:p>
      <w:pPr>
        <w:spacing w:after="0" w:before="0" w:line="20" w:lineRule="exact"/>
      </w:pPr>
    </w:p>
    <w:p>
      <w:pPr>
        <w:keepLines/>
      </w:pPr>
      <w:r>
        <w:rPr>
          <w:rFonts w:ascii="Microsoft JhengHei" w:hAnsi="Microsoft JhengHei" w:eastAsia="Microsoft JhengHei"/>
          <w:b w:val="0"/>
          <w:color w:val="24364B"/>
          <w:sz w:val="22"/>
        </w:rPr>
        <w:t>回收率＝有效回覆數÷符合條件且已邀請人數。另列未回覆、拒答及撤回。不同對象的問卷與分母分開；無受邀對象時標示不適用，不填0%或推定結果。</w:t>
      </w:r>
    </w:p>
    <w:p>
      <w:pPr>
        <w:pStyle w:val="Heading1"/>
        <w:keepNext/>
      </w:pPr>
      <w:r>
        <w:rPr>
          <w:rFonts w:ascii="Microsoft JhengHei" w:hAnsi="Microsoft JhengHei" w:eastAsia="Microsoft JhengHei"/>
          <w:b/>
          <w:color w:val="183B63"/>
          <w:sz w:val="30"/>
        </w:rPr>
        <w:t>三、題目分析（每個有效題目填一列）</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20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題目／構面</w:t>
            </w:r>
          </w:p>
        </w:tc>
        <w:tc>
          <w:tcPr>
            <w:tcW w:type="dxa" w:w="122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有效作答 N</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平均／中位數</w:t>
            </w:r>
          </w:p>
        </w:tc>
        <w:tc>
          <w:tcPr>
            <w:tcW w:type="dxa" w:w="187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4或5人數／比例</w:t>
            </w:r>
          </w:p>
        </w:tc>
        <w:tc>
          <w:tcPr>
            <w:tcW w:type="dxa" w:w="136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缺漏／不適用</w:t>
            </w:r>
          </w:p>
        </w:tc>
        <w:tc>
          <w:tcPr>
            <w:tcW w:type="dxa" w:w="187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解讀與資料限制</w:t>
            </w:r>
          </w:p>
        </w:tc>
      </w:tr>
      <w:tr>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36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36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2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136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bl>
    <w:p>
      <w:pPr>
        <w:spacing w:after="0" w:before="0" w:line="20" w:lineRule="exact"/>
      </w:pPr>
    </w:p>
    <w:p>
      <w:pPr>
        <w:pStyle w:val="Heading1"/>
        <w:keepNext/>
      </w:pPr>
      <w:r>
        <w:rPr>
          <w:rFonts w:ascii="Microsoft JhengHei" w:hAnsi="Microsoft JhengHei" w:eastAsia="Microsoft JhengHei"/>
          <w:b/>
          <w:color w:val="183B63"/>
          <w:sz w:val="30"/>
        </w:rPr>
        <w:t>四、開放意見與差距</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主題</w:t>
            </w:r>
          </w:p>
        </w:tc>
        <w:tc>
          <w:tcPr>
            <w:tcW w:type="dxa" w:w="17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原始意見數／位置</w:t>
            </w:r>
          </w:p>
        </w:tc>
        <w:tc>
          <w:tcPr>
            <w:tcW w:type="dxa" w:w="259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代表性摘要（去識別）</w:t>
            </w:r>
          </w:p>
        </w:tc>
        <w:tc>
          <w:tcPr>
            <w:tcW w:type="dxa" w:w="252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可能原因（事實／假設分列）</w:t>
            </w:r>
          </w:p>
        </w:tc>
        <w:tc>
          <w:tcPr>
            <w:tcW w:type="dxa" w:w="17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需採行動</w:t>
            </w:r>
          </w:p>
        </w:tc>
      </w:tr>
      <w:tr>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7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7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7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7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bl>
    <w:p>
      <w:pPr>
        <w:spacing w:after="0" w:before="0" w:line="20" w:lineRule="exact"/>
      </w:pPr>
    </w:p>
    <w:p>
      <w:pPr>
        <w:pStyle w:val="Heading1"/>
        <w:keepNext/>
      </w:pPr>
      <w:r>
        <w:rPr>
          <w:rFonts w:ascii="Microsoft JhengHei" w:hAnsi="Microsoft JhengHei" w:eastAsia="Microsoft JhengHei"/>
          <w:b/>
          <w:color w:val="183B63"/>
          <w:sz w:val="30"/>
        </w:rPr>
        <w:t>五、改善決定與下次驗證</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問題／優先序</w:t>
            </w:r>
          </w:p>
        </w:tc>
        <w:tc>
          <w:tcPr>
            <w:tcW w:type="dxa" w:w="230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改善措施</w:t>
            </w:r>
          </w:p>
        </w:tc>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責任／期限</w:t>
            </w:r>
          </w:p>
        </w:tc>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下次檢查方式</w:t>
            </w:r>
          </w:p>
        </w:tc>
        <w:tc>
          <w:tcPr>
            <w:tcW w:type="dxa" w:w="187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狀態／結果</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□未開始 □追蹤 □完成待核</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□未開始 □追蹤 □完成待核</w:t>
            </w:r>
          </w:p>
        </w:tc>
      </w:tr>
    </w:tbl>
    <w:p>
      <w:pPr>
        <w:spacing w:after="0" w:before="0" w:line="20" w:lineRule="exact"/>
      </w:pPr>
    </w:p>
    <w:p>
      <w:pPr>
        <w:keepLines/>
      </w:pPr>
      <w:r>
        <w:rPr>
          <w:rFonts w:ascii="Microsoft JhengHei" w:hAnsi="Microsoft JhengHei" w:eastAsia="Microsoft JhengHei"/>
          <w:b w:val="0"/>
          <w:color w:val="24364B"/>
          <w:sz w:val="22"/>
        </w:rPr>
        <w:t>判讀界線：整體滿意度不等於學習能力提升或工作績效改善。報告須呈現負面意見、少量樣本及未回覆限制，不以平均值掩蓋個別問題。</w:t>
      </w:r>
    </w:p>
    <w:p>
      <w:pPr>
        <w:pStyle w:val="Heading2"/>
        <w:keepNext/>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來源狀態</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檔名／頁次／欄位</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覆核人</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核定問卷與受邀母體</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原始回覆與分析計算</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尚無實際資料</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改善決定及後續驗證</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實際執行後建立</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目標客戶及學員滿意度調查執行與分析報告表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