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年度訓練班次與參訓人次趨勢表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以逐年可查證的實際開班及出席資料，分開呈現訓練班次與參訓人次趨勢。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依年度核准課程及實際辦理紀錄清點，統一班次、人次、取消及跨年課程口徑。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先核對年度範圍、納入班次清單及人次來源，再查看年增幅與例外。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目前未取得本會可核驗的歷年開班清冊、簽到或結訓資料；趨勢待補。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對應查核項目：每年訓練班次、人次均持續成長。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只記錄有來源可回查的實際資料；未取得、未回覆、不適用與尚未辦理分開標示。不同期間須使用可比口徑；不得以目標、推估或他機構資料代替本會成果。個人資料用代碼並限制存取。</w:t>
      </w: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一、年度統計範圍與口徑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5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年度與課程範圍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[待補：年度、課程類別、納入／排除規則]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班次定義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[待補：一班的識別方式；取消、合併、重開如何處理]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參訓人次定義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[待補：以實際出席或報到為準；同人跨班可重複計次]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資料來源與覆核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[待補：課程計畫、簽到、結訓名冊及覆核方式]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二、年度底冊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0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年度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課程／類別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實際班次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實際參訓人次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來源位置／覆核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結果判讀與後續處理</w:t>
      </w: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三、年度趨勢及計算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年度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班次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班次年增率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人次</w:t>
            </w:r>
          </w:p>
        </w:tc>
        <w:tc>
          <w:tcPr>
            <w:tcW w:type="dxa" w:w="32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人次年增率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基準年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不適用／待補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不適用／待補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比較年一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(本年－前一年)÷前一年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(本年－前一年)÷前一年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比較年二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四、差異解釋與決定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項目</w:t>
            </w:r>
          </w:p>
        </w:tc>
        <w:tc>
          <w:tcPr>
            <w:tcW w:type="dxa" w:w="76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是否逐年增加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□是 □否 □資料不足；逐年班次及人次分別判讀，不以單年高點代替持續成長。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差異原因與外部因素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[待補：課程開辦、場地、需求、資源或統計口徑變動]。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後續安排與風險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[待補：核定計畫、資源條件、負責角色及下一年度檢核]。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spacing w:before="120" w:after="60"/>
      </w:pPr>
      <w:r>
        <w:t>改善／擴散決定與下次驗證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改善／擴散決定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觸發差距與依據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責任角色／期限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下一次檢核指標／來源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覆核結果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[待決；不得因目標預設擴張]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[依逐年實際資料判讀]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[待核定]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[下一期班次及人次底冊]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[實施後填]</w:t>
            </w:r>
          </w:p>
        </w:tc>
      </w:tr>
    </w:tbl>
    <w:p>
      <w:pPr>
        <w:keepLines/>
        <w:spacing w:before="60" w:after="120"/>
      </w:pPr>
      <w:r>
        <w:rPr>
          <w:b/>
          <w:color w:val="9C4500"/>
        </w:rPr>
        <w:t>個案成果不屬於本件年度趨勢表的必要個案分析；如需說明個別就業或能力變化，引用其專屬紀錄並另行保護個資。</w:t>
      </w: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來源狀態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檔名／位置／頁次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已核對原始查核表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第8–9頁，依各項清冊頁次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年度課程核准與實際開班紀錄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簽到、出席及結訓名冊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</w:pPr>
      <w:r>
        <w:t>操作工具補充｜雙指標年度趨勢圖與持續成長判定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班次與參訓人次是兩項不同指標，須分別由原始清冊計算並判定。以下圖表僅留空白軸線，不含虛構年度或數值；實際數據到齊前不得連線或宣稱持續成長。</w:t>
      </w:r>
    </w:p>
    <w:p>
      <w:pPr>
        <w:pStyle w:val="Heading2"/>
        <w:keepNext/>
        <w:keepLines/>
      </w:pPr>
      <w:r>
        <w:t>1. 年度訓練班次趨勢圖（空白版）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97680" cy="14504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3_blank_class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450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</w:pPr>
      <w:r>
        <w:t>2. 年度參訓人次趨勢圖（空白版）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97680" cy="14504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3_blank_participant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450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</w:pPr>
      <w:r>
        <w:t>3. 計算與連續成長判定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cantSplit/>
          <w:tblHeader w:val="true"/>
        </w:trPr>
        <w:tc>
          <w:tcPr>
            <w:tcW w:type="dxa" w:w="3335"/>
            <w:vAlign w:val="center"/>
            <w:shd w:fill="1F4E78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keepNext/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3335"/>
            <w:vAlign w:val="center"/>
            <w:shd w:fill="1F4E78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keepNext/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公式／判定規則</w:t>
            </w:r>
          </w:p>
        </w:tc>
        <w:tc>
          <w:tcPr>
            <w:tcW w:type="dxa" w:w="3335"/>
            <w:vAlign w:val="center"/>
            <w:shd w:fill="1F4E78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keepNext/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待填數據／證據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班次年增率</w:t>
            </w:r>
          </w:p>
        </w:tc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(本年度班次－前年度班次) ÷ 前年度班次 × 100%。前年度為0或缺值時不計百分比，改列絕對差額並說明。</w:t>
            </w:r>
          </w:p>
        </w:tc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[兩年度值／原始班次清冊／覆核]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shd w:fill="F2F6FA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參訓人次年增率</w:t>
            </w:r>
          </w:p>
        </w:tc>
        <w:tc>
          <w:tcPr>
            <w:tcW w:type="dxa" w:w="3335"/>
            <w:vAlign w:val="center"/>
            <w:shd w:fill="F2F6FA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(本年度人次－前年度人次) ÷ 前年度人次 × 100%。前年度為0或缺值時不計百分比，改列絕對差額並說明。</w:t>
            </w:r>
          </w:p>
        </w:tc>
        <w:tc>
          <w:tcPr>
            <w:tcW w:type="dxa" w:w="3335"/>
            <w:vAlign w:val="center"/>
            <w:shd w:fill="F2F6FA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[兩年度值／出席原始資料／覆核]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持續成長判定</w:t>
            </w:r>
          </w:p>
        </w:tc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按事前定義的連續年度區間，班次每一相鄰年度均增加且人次每一相鄰年度均增加，才可標示「持續成長」。任一項不符或年度缺值即不得如此判定。</w:t>
            </w:r>
          </w:p>
        </w:tc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[年度範圍／逐年值／統計口徑]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shd w:fill="F2F6FA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跨年與重複計次</w:t>
            </w:r>
          </w:p>
        </w:tc>
        <w:tc>
          <w:tcPr>
            <w:tcW w:type="dxa" w:w="3335"/>
            <w:vAlign w:val="center"/>
            <w:shd w:fill="F2F6FA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班次以核定班次識別碼去重；參訓人次依實際出席計次，同一人跨不同班次可重複，取消／合併／跨年課程依核定口徑處理。</w:t>
            </w:r>
          </w:p>
        </w:tc>
        <w:tc>
          <w:tcPr>
            <w:tcW w:type="dxa" w:w="3335"/>
            <w:vAlign w:val="center"/>
            <w:shd w:fill="F2F6FA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[納入／排除清單及理由]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結論限制</w:t>
            </w:r>
          </w:p>
        </w:tc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t>記錄需求、資源、停辦及口徑變動；不逕稱成長原因。</w:t>
            </w:r>
          </w:p>
        </w:tc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[分析與改善決定待填]</w:t>
            </w:r>
          </w:p>
        </w:tc>
      </w:tr>
    </w:tbl>
    <w:p>
      <w:pPr>
        <w:pStyle w:val="Heading2"/>
        <w:keepNext/>
        <w:keepLines/>
        <w:spacing w:before="40" w:after="0"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Next/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Next/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Next/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資料缺漏及後續處理</w:t>
            </w:r>
          </w:p>
        </w:tc>
      </w:tr>
      <w:tr>
        <w:trPr/>
        <w:tc>
          <w:tcPr>
            <w:tcW w:type="dxa" w:w="2880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[待補資料／責任角色／期限]</w:t>
            </w:r>
          </w:p>
        </w:tc>
      </w:tr>
      <w:tr>
        <w:trPr/>
        <w:tc>
          <w:tcPr>
            <w:tcW w:type="dxa" w:w="2880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keepNext w:val="0"/>
        <w:pageBreakBefore w:val="0"/>
        <w:spacing w:after="0" w:before="0" w:line="20" w:lineRule="exact"/>
      </w:pPr>
      <w:r>
        <w:rPr>
          <w:sz w:val="2"/>
        </w:rPr>
        <w:t xml:space="preserve"> </w:t>
      </w:r>
    </w:p>
    <w:p>
      <w:pPr>
        <w:pStyle w:val="Heading1"/>
        <w:keepNext/>
        <w:keepLines/>
      </w:pPr>
      <w:r>
        <w:t>資料血緣、比較基準與結果可信度</w:t>
      </w:r>
    </w:p>
    <w:p>
      <w:pPr>
        <w:keepLines/>
        <w:spacing w:after="100"/>
      </w:pPr>
      <w:r>
        <w:t>每一年度班次與人次須可由原始底冊重算，並使用一致的納入、取消、合併與跨年口徑。未取得歷年清冊、簽到及核定課程來源前，不得宣稱持續成長。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年度／指標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來源原件與資料欄位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納入／排除及去重規則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核對人／日期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計算檔／結果位置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[年度；訓練班次]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[核定課程、班次ID及實際辦理紀錄]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[取消／合併／重開與跨年處理]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[年度；參訓人次]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[簽到／出席／結訓原件]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[出席定義、重複計次口徑]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比較項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基準期間／組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比較期間／組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可比性與外部因素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判讀／證據位置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班次趨勢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[連續年度與口徑]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[逐年值待補]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[課程範圍、停辦、資源或口徑變動]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[待判；不以單年高點稱持續成長]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參訓人次趨勢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[連續年度與分母口徑]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[逐年值待補]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[班次、出席及重複計次影響]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[待判；待來源與覆核]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交叉驗證／適用性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對照來源或文件ID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結果／差異處理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決定與下次驗證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訓練執行與出席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[I15結案、簽到、班次底冊；填實際文件ID]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[班次／人次逐年對帳]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訓後個案成果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不屬I19-E22的班次／人次核心指標；個案分析由相應個案文件承接。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不將個案資料重複計入年度人次；無相關資料時註明不適用。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[不適用理由／引用文件待填]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17／18／19資料一致性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[引用相應評量與成果文件ID；不複製個案事實]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[同期間、母體與定義核對；無法比對則說明]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證據來源型態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現有來源狀態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可支持的結論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限制／需補強資料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核定班次與實際出席原件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[目前來源狀態待確認]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[僅在底冊完成核對後填入]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[待補檔名、期間、覆核與授權]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彙整計算與圖表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[取得底冊後生成]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[列分子、分母與增幅]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[重算規則、版本與計算人]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外部或跨文件核對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[依實際可用資料]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[僅限核對範圍內]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[不得推定關聯或因果]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年度訓練班次與參訓人次趨勢表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