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100"/>
      </w:pPr>
      <w:r>
        <w:rPr>
          <w:rFonts w:ascii="Microsoft JhengHei" w:hAnsi="Microsoft JhengHei" w:eastAsia="Microsoft JhengHei"/>
          <w:b/>
          <w:color w:val="173F66"/>
          <w:sz w:val="42"/>
        </w:rPr>
        <w:t>會員人數及會費收入逐年變化分析報告</w:t>
      </w:r>
    </w:p>
    <w:p>
      <w:pPr>
        <w:keepNext/>
        <w:spacing w:after="80" w:line="259" w:lineRule="auto"/>
      </w:pPr>
      <w:r>
        <w:rPr>
          <w:sz w:val="21"/>
        </w:rPr>
        <w:t>I19-E23｜文件 0134｜成果／價值量化與驗證工作稿 R03｜編製日期：2026-09-30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6"/>
      </w:tblGrid>
      <w:tr>
        <w:trPr>
          <w:cantSplit/>
        </w:trPr>
        <w:tc>
          <w:tcPr>
            <w:tcW w:type="dxa" w:w="1000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2CC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/>
                <w:color w:val="5B4A00"/>
                <w:sz w:val="18"/>
              </w:rPr>
            </w:r>
            <w:r>
              <w:rPr>
                <w:rFonts w:ascii="Microsoft JhengHei" w:hAnsi="Microsoft JhengHei" w:eastAsia="Microsoft JhengHei"/>
                <w:b/>
                <w:color w:val="5B4A00"/>
                <w:sz w:val="19"/>
              </w:rPr>
              <w:t>工作稿／待取得並核對真實資料。此文件未填入會員數、會費金額、增率或成效；不代表協會已逐年成長、已核定目標、已完成審查或已取得第三方證明。</w:t>
            </w:r>
          </w:p>
        </w:tc>
      </w:tr>
    </w:tbl>
    <w:p>
      <w:pPr>
        <w:pStyle w:val="Heading2"/>
        <w:keepNext/>
        <w:keepLines/>
        <w:pageBreakBefore w:val="0"/>
        <w:spacing w:before="100" w:after="80"/>
      </w:pPr>
      <w:r>
        <w:rPr>
          <w:rFonts w:ascii="Microsoft JhengHei" w:hAnsi="Microsoft JhengHei" w:eastAsia="Microsoft JhengHei"/>
          <w:b/>
          <w:color w:val="173F66"/>
          <w:sz w:val="22"/>
        </w:rPr>
        <w:t>30 秒先讀這裡</w:t>
      </w:r>
    </w:p>
    <w:p>
      <w:r>
        <w:rPr>
          <w:sz w:val="21"/>
        </w:rPr>
        <w:t>先看三件事：① 各年度末有效會員數；② 各年度實收會員會費；③ 兩項是否都比前一年高。只有兩項都連續增加、而且原始資料能對得起來，才可下「均逐年增加」的結論。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  <w:cantSplit/>
        </w:trPr>
        <w:tc>
          <w:tcPr>
            <w:tcW w:type="dxa" w:w="500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66"/>
          </w:tcPr>
          <w:p>
            <w:pPr>
              <w:spacing w:before="0" w:after="0" w:line="254" w:lineRule="auto"/>
              <w:jc w:val="center"/>
            </w:pPr>
            <w:r>
              <w:rPr>
                <w:b/>
                <w:color w:val="FFFFFF"/>
                <w:sz w:val="19"/>
              </w:rPr>
              <w:t>30 秒要知道什麼</w:t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</w:r>
          </w:p>
        </w:tc>
        <w:tc>
          <w:tcPr>
            <w:tcW w:type="dxa" w:w="500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66"/>
          </w:tcPr>
          <w:p>
            <w:pPr>
              <w:spacing w:before="0" w:after="0" w:line="254" w:lineRule="auto"/>
              <w:jc w:val="center"/>
            </w:pPr>
            <w:r>
              <w:rPr>
                <w:b/>
                <w:color w:val="FFFFFF"/>
                <w:sz w:val="19"/>
              </w:rPr>
              <w:t>白話判讀</w:t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</w:r>
          </w:p>
        </w:tc>
      </w:tr>
      <w:tr>
        <w:trPr>
          <w:cantSplit/>
        </w:trPr>
        <w:tc>
          <w:tcPr>
            <w:tcW w:type="dxa" w:w="500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>
              <w:rPr>
                <w:sz w:val="19"/>
              </w:rPr>
              <w:t>這份文件要證明什麼</w:t>
            </w:r>
            <w:r>
              <w:rPr>
                <w:rFonts w:ascii="Microsoft JhengHei" w:hAnsi="Microsoft JhengHei" w:eastAsia="Microsoft JhengHei"/>
                <w:b w:val="0"/>
                <w:color w:val="243447"/>
                <w:sz w:val="17"/>
              </w:rPr>
            </w:r>
          </w:p>
        </w:tc>
        <w:tc>
          <w:tcPr>
            <w:tcW w:type="dxa" w:w="500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>
              <w:rPr>
                <w:sz w:val="19"/>
              </w:rPr>
              <w:t>連續幾年來，年末有效會員人數有沒有一年比一年多？同一期間實收的會員會費有沒有一年比一年高？</w:t>
            </w:r>
            <w:r>
              <w:rPr>
                <w:rFonts w:ascii="Microsoft JhengHei" w:hAnsi="Microsoft JhengHei" w:eastAsia="Microsoft JhengHei"/>
                <w:b w:val="0"/>
                <w:color w:val="243447"/>
                <w:sz w:val="17"/>
              </w:rPr>
            </w:r>
          </w:p>
        </w:tc>
      </w:tr>
      <w:tr>
        <w:trPr>
          <w:cantSplit/>
        </w:trPr>
        <w:tc>
          <w:tcPr>
            <w:tcW w:type="dxa" w:w="500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>
              <w:rPr>
                <w:sz w:val="19"/>
              </w:rPr>
              <w:t>要拿什麼來證明</w:t>
            </w:r>
            <w:r>
              <w:rPr>
                <w:rFonts w:ascii="Microsoft JhengHei" w:hAnsi="Microsoft JhengHei" w:eastAsia="Microsoft JhengHei"/>
                <w:b w:val="0"/>
                <w:color w:val="243447"/>
                <w:sz w:val="17"/>
              </w:rPr>
            </w:r>
          </w:p>
        </w:tc>
        <w:tc>
          <w:tcPr>
            <w:tcW w:type="dxa" w:w="500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>
              <w:rPr>
                <w:sz w:val="19"/>
              </w:rPr>
              <w:t>會員名冊＋會員新增／退會等異動紀錄＋會費收據／銀行紀錄＋帳冊／年度報表。現在仍待協會真實原件，所以不能先填成已成長。</w:t>
            </w:r>
            <w:r>
              <w:rPr>
                <w:rFonts w:ascii="Microsoft JhengHei" w:hAnsi="Microsoft JhengHei" w:eastAsia="Microsoft JhengHei"/>
                <w:b w:val="0"/>
                <w:color w:val="243447"/>
                <w:sz w:val="17"/>
              </w:rPr>
            </w:r>
          </w:p>
        </w:tc>
      </w:tr>
      <w:tr>
        <w:trPr>
          <w:cantSplit/>
        </w:trPr>
        <w:tc>
          <w:tcPr>
            <w:tcW w:type="dxa" w:w="500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>
              <w:rPr>
                <w:sz w:val="19"/>
              </w:rPr>
              <w:t>怎麼算才公平</w:t>
            </w:r>
            <w:r>
              <w:rPr>
                <w:rFonts w:ascii="Microsoft JhengHei" w:hAnsi="Microsoft JhengHei" w:eastAsia="Microsoft JhengHei"/>
                <w:b w:val="0"/>
                <w:color w:val="243447"/>
                <w:sz w:val="17"/>
              </w:rPr>
            </w:r>
          </w:p>
        </w:tc>
        <w:tc>
          <w:tcPr>
            <w:tcW w:type="dxa" w:w="500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>
              <w:rPr>
                <w:sz w:val="19"/>
              </w:rPr>
              <w:t>每一年都用同一套會員資格、同一年度截止日、同一會費認列方式；口徑變了就先說明，不能直接把不同算法硬比。</w:t>
            </w:r>
            <w:r>
              <w:rPr>
                <w:rFonts w:ascii="Microsoft JhengHei" w:hAnsi="Microsoft JhengHei" w:eastAsia="Microsoft JhengHei"/>
                <w:b w:val="0"/>
                <w:color w:val="243447"/>
                <w:sz w:val="17"/>
              </w:rPr>
            </w:r>
          </w:p>
        </w:tc>
      </w:tr>
      <w:tr>
        <w:trPr>
          <w:cantSplit/>
        </w:trPr>
        <w:tc>
          <w:tcPr>
            <w:tcW w:type="dxa" w:w="500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>
              <w:rPr>
                <w:sz w:val="19"/>
              </w:rPr>
              <w:t>最後怎麼判定</w:t>
            </w:r>
            <w:r>
              <w:rPr>
                <w:rFonts w:ascii="Microsoft JhengHei" w:hAnsi="Microsoft JhengHei" w:eastAsia="Microsoft JhengHei"/>
                <w:b w:val="0"/>
                <w:color w:val="243447"/>
                <w:sz w:val="17"/>
              </w:rPr>
            </w:r>
          </w:p>
        </w:tc>
        <w:tc>
          <w:tcPr>
            <w:tcW w:type="dxa" w:w="500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>
              <w:rPr>
                <w:sz w:val="19"/>
              </w:rPr>
              <w:t>會員人數與實收會費都要逐年增加，而且每個數字都能回到原始資料核對，才可以回答「兩者均逐年增加」；資料不足就寫「尚無法判定」。</w:t>
            </w:r>
            <w:r>
              <w:rPr>
                <w:rFonts w:ascii="Microsoft JhengHei" w:hAnsi="Microsoft JhengHei" w:eastAsia="Microsoft JhengHei"/>
                <w:b w:val="0"/>
                <w:color w:val="243447"/>
                <w:sz w:val="17"/>
              </w:rPr>
            </w:r>
          </w:p>
        </w:tc>
      </w:tr>
    </w:tbl>
    <w:p>
      <w:pPr>
        <w:pStyle w:val="Heading1"/>
        <w:keepNext/>
        <w:keepLines/>
        <w:pageBreakBefore w:val="0"/>
        <w:spacing w:before="160" w:after="80"/>
      </w:pPr>
      <w:r>
        <w:rPr>
          <w:rFonts w:ascii="Microsoft JhengHei" w:hAnsi="Microsoft JhengHei" w:eastAsia="Microsoft JhengHei"/>
          <w:b/>
          <w:color w:val="173F66"/>
          <w:sz w:val="26"/>
        </w:rPr>
        <w:t>一、成果命題與直接回應</w:t>
      </w:r>
    </w:p>
    <w:p>
      <w:pPr>
        <w:spacing w:after="80" w:line="259" w:lineRule="auto"/>
      </w:pPr>
      <w:r>
        <w:rPr>
          <w:rFonts w:ascii="Microsoft JhengHei" w:hAnsi="Microsoft JhengHei" w:eastAsia="Microsoft JhengHei"/>
          <w:b w:val="0"/>
          <w:color w:val="243447"/>
          <w:sz w:val="21"/>
        </w:rPr>
        <w:t>成果命題：在協會採用並核定的相同會員資格、年度與會費認列口徑下，連續年度末有效會員數與同期間實收會費是否逐年增加。</w:t>
      </w:r>
    </w:p>
    <w:p>
      <w:pPr>
        <w:spacing w:after="80" w:line="259" w:lineRule="auto"/>
      </w:pPr>
      <w:r>
        <w:rPr>
          <w:rFonts w:ascii="Microsoft JhengHei" w:hAnsi="Microsoft JhengHei" w:eastAsia="Microsoft JhengHei"/>
          <w:b w:val="0"/>
          <w:color w:val="243447"/>
          <w:sz w:val="21"/>
        </w:rPr>
        <w:t>本件僅負責會員人數及會員會費的計數、金額、計算口徑、比較判定及證據定位；課程收入、補助、捐款及其他收入另列，不得併稱會費。</w:t>
      </w:r>
    </w:p>
    <w:p>
      <w:pPr>
        <w:spacing w:after="80" w:line="259" w:lineRule="auto"/>
      </w:pPr>
      <w:r>
        <w:rPr>
          <w:rFonts w:ascii="Microsoft JhengHei" w:hAnsi="Microsoft JhengHei" w:eastAsia="Microsoft JhengHei"/>
          <w:b w:val="0"/>
          <w:color w:val="243447"/>
          <w:sz w:val="21"/>
        </w:rPr>
        <w:t>結果欄須以每年原始值直接回答查核要求。資料不完整、年度口徑變更或分母為零時，填「尚無法判定」及原因，不以目標或推估取代實績。</w:t>
      </w:r>
    </w:p>
    <w:p>
      <w:pPr>
        <w:pStyle w:val="Heading2"/>
        <w:keepNext/>
        <w:keepLines/>
        <w:pageBreakBefore w:val="0"/>
        <w:spacing w:before="100" w:after="80"/>
      </w:pPr>
      <w:r>
        <w:rPr>
          <w:rFonts w:ascii="Microsoft JhengHei" w:hAnsi="Microsoft JhengHei" w:eastAsia="Microsoft JhengHei"/>
          <w:b/>
          <w:color w:val="173F66"/>
          <w:sz w:val="22"/>
        </w:rPr>
        <w:t>二、先說清楚「算誰、算哪一年、怎麼算」（母體／期間／可比口徑）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  <w:cantSplit/>
        </w:trPr>
        <w:tc>
          <w:tcPr>
            <w:tcW w:type="dxa" w:w="500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66"/>
          </w:tcPr>
          <w:p>
            <w:pPr>
              <w:spacing w:before="0" w:after="0" w:line="254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設計欄位</w:t>
            </w:r>
          </w:p>
        </w:tc>
        <w:tc>
          <w:tcPr>
            <w:tcW w:type="dxa" w:w="500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66"/>
          </w:tcPr>
          <w:p>
            <w:pPr>
              <w:spacing w:before="0" w:after="0" w:line="254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本次填寫／核定內容</w:t>
            </w:r>
          </w:p>
        </w:tc>
      </w:tr>
      <w:tr>
        <w:trPr>
          <w:cantSplit/>
        </w:trPr>
        <w:tc>
          <w:tcPr>
            <w:tcW w:type="dxa" w:w="500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比較年度</w:t>
            </w:r>
          </w:p>
        </w:tc>
        <w:tc>
          <w:tcPr>
            <w:tcW w:type="dxa" w:w="500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[待填：至少三個連續且已結帳／完成名冊核對的會計年度；期間起訖與年度末日]</w:t>
            </w:r>
          </w:p>
        </w:tc>
      </w:tr>
      <w:tr>
        <w:trPr>
          <w:cantSplit/>
        </w:trPr>
        <w:tc>
          <w:tcPr>
            <w:tcW w:type="dxa" w:w="500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會員母體</w:t>
            </w:r>
          </w:p>
        </w:tc>
        <w:tc>
          <w:tcPr>
            <w:tcW w:type="dxa" w:w="500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[待填：依章程及本會核定規則，逐年末仍具有效會員資格者；列示會員類別及納入條件]</w:t>
            </w:r>
          </w:p>
        </w:tc>
      </w:tr>
      <w:tr>
        <w:trPr>
          <w:cantSplit/>
        </w:trPr>
        <w:tc>
          <w:tcPr>
            <w:tcW w:type="dxa" w:w="500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會員計數單位</w:t>
            </w:r>
          </w:p>
        </w:tc>
        <w:tc>
          <w:tcPr>
            <w:tcW w:type="dxa" w:w="500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[待填：以唯一會員代碼去重；入會、復會、退會、除名及其他異動依原始名冊判定]</w:t>
            </w:r>
          </w:p>
        </w:tc>
      </w:tr>
      <w:tr>
        <w:trPr>
          <w:cantSplit/>
        </w:trPr>
        <w:tc>
          <w:tcPr>
            <w:tcW w:type="dxa" w:w="500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會費口徑</w:t>
            </w:r>
          </w:p>
        </w:tc>
        <w:tc>
          <w:tcPr>
            <w:tcW w:type="dxa" w:w="500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[待填：僅計本會依核定規定收取的會員會費；說明現金／權責認列、收款期間與會計科目]</w:t>
            </w:r>
          </w:p>
        </w:tc>
      </w:tr>
      <w:tr>
        <w:trPr>
          <w:cantSplit/>
        </w:trPr>
        <w:tc>
          <w:tcPr>
            <w:tcW w:type="dxa" w:w="500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缺漏與排除</w:t>
            </w:r>
          </w:p>
        </w:tc>
        <w:tc>
          <w:tcPr>
            <w:tcW w:type="dxa" w:w="500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[待填：未回覆、名冊缺頁、未結帳、減免、欠繳、重複或期間不可比事項及處理理由]</w:t>
            </w:r>
          </w:p>
        </w:tc>
      </w:tr>
      <w:tr>
        <w:trPr>
          <w:cantSplit/>
        </w:trPr>
        <w:tc>
          <w:tcPr>
            <w:tcW w:type="dxa" w:w="500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事前目標</w:t>
            </w:r>
          </w:p>
        </w:tc>
        <w:tc>
          <w:tcPr>
            <w:tcW w:type="dxa" w:w="500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[填入比較期前已有書面核定的目標；未核定時標示「未核定」，不得倒填目標]</w:t>
            </w:r>
          </w:p>
        </w:tc>
      </w:tr>
    </w:tbl>
    <w:p>
      <w:pPr>
        <w:pStyle w:val="Heading2"/>
        <w:keepNext/>
        <w:keepLines/>
        <w:pageBreakBefore w:val="0"/>
        <w:spacing w:before="100" w:after="80"/>
      </w:pPr>
      <w:r>
        <w:rPr>
          <w:rFonts w:ascii="Microsoft JhengHei" w:hAnsi="Microsoft JhengHei" w:eastAsia="Microsoft JhengHei"/>
          <w:b/>
          <w:color w:val="173F66"/>
          <w:sz w:val="22"/>
        </w:rPr>
        <w:t>三、資料完整到什麼程度（稽核用 E0–E3 工作分級）</w:t>
      </w:r>
    </w:p>
    <w:p>
      <w:pPr>
        <w:spacing w:after="80" w:line="259" w:lineRule="auto"/>
      </w:pPr>
      <w:r>
        <w:rPr>
          <w:rFonts w:ascii="Microsoft JhengHei" w:hAnsi="Microsoft JhengHei" w:eastAsia="Microsoft JhengHei"/>
          <w:b w:val="0"/>
          <w:color w:val="243447"/>
          <w:sz w:val="21"/>
        </w:rPr>
        <w:t>白話說，E0–E3 只是「資料完整度」工作分級：E0＝還沒拿到原件，E1＝拿到部分原件，E2＝內部資料已可互相核對，E3＝另有獨立外部覆核。這不是 TTQS 官方分數，須由本會審議後才可作正式內控口徑。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5"/>
        <w:gridCol w:w="3335"/>
        <w:gridCol w:w="3335"/>
      </w:tblGrid>
      <w:tr>
        <w:trPr>
          <w:tblHeader w:val="true"/>
          <w:cantSplit/>
        </w:trPr>
        <w:tc>
          <w:tcPr>
            <w:tcW w:type="dxa" w:w="333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66"/>
          </w:tcPr>
          <w:p>
            <w:pPr>
              <w:spacing w:before="0" w:after="0" w:line="254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級別</w:t>
            </w:r>
          </w:p>
        </w:tc>
        <w:tc>
          <w:tcPr>
            <w:tcW w:type="dxa" w:w="333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66"/>
          </w:tcPr>
          <w:p>
            <w:pPr>
              <w:spacing w:before="0" w:after="0" w:line="254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最低資料條件</w:t>
            </w:r>
          </w:p>
        </w:tc>
        <w:tc>
          <w:tcPr>
            <w:tcW w:type="dxa" w:w="333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66"/>
          </w:tcPr>
          <w:p>
            <w:pPr>
              <w:spacing w:before="0" w:after="0" w:line="254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可支持的判讀／升級缺口</w:t>
            </w:r>
          </w:p>
        </w:tc>
      </w:tr>
      <w:tr>
        <w:trPr>
          <w:cantSplit/>
        </w:trPr>
        <w:tc>
          <w:tcPr>
            <w:tcW w:type="dxa" w:w="333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E0｜待取得</w:t>
            </w:r>
          </w:p>
        </w:tc>
        <w:tc>
          <w:tcPr>
            <w:tcW w:type="dxa" w:w="333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未取得可回查的本會原始名冊及會費／帳務資料。</w:t>
            </w:r>
          </w:p>
        </w:tc>
        <w:tc>
          <w:tcPr>
            <w:tcW w:type="dxa" w:w="333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不作成長結論。先取得適用年度原件及來源位置。</w:t>
            </w:r>
          </w:p>
        </w:tc>
      </w:tr>
      <w:tr>
        <w:trPr>
          <w:cantSplit/>
        </w:trPr>
        <w:tc>
          <w:tcPr>
            <w:tcW w:type="dxa" w:w="333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E1｜內部原始紀錄</w:t>
            </w:r>
          </w:p>
        </w:tc>
        <w:tc>
          <w:tcPr>
            <w:tcW w:type="dxa" w:w="333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至少取得名冊或帳務原件之一，能辨識期間與欄位，但尚未完成雙方勾稽或年度可比性核對。</w:t>
            </w:r>
          </w:p>
        </w:tc>
        <w:tc>
          <w:tcPr>
            <w:tcW w:type="dxa" w:w="333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僅作初步整理；補齊另一類原件、異動明細及差異說明後再評估升級。</w:t>
            </w:r>
          </w:p>
        </w:tc>
      </w:tr>
      <w:tr>
        <w:trPr>
          <w:cantSplit/>
        </w:trPr>
        <w:tc>
          <w:tcPr>
            <w:tcW w:type="dxa" w:w="333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E2｜內部勾稽完成</w:t>
            </w:r>
          </w:p>
        </w:tc>
        <w:tc>
          <w:tcPr>
            <w:tcW w:type="dxa" w:w="333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連續年度名冊異動可平衡；應收、實收、收據／銀行及總帳可勾稽；口徑、缺漏與覆核可追溯。</w:t>
            </w:r>
          </w:p>
        </w:tc>
        <w:tc>
          <w:tcPr>
            <w:tcW w:type="dxa" w:w="333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可作內部核驗分析；若需更高獨立性，取得具範圍與方法說明的外部獨立覆核。</w:t>
            </w:r>
          </w:p>
        </w:tc>
      </w:tr>
      <w:tr>
        <w:trPr>
          <w:cantSplit/>
        </w:trPr>
        <w:tc>
          <w:tcPr>
            <w:tcW w:type="dxa" w:w="333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E3｜獨立覆核</w:t>
            </w:r>
          </w:p>
        </w:tc>
        <w:tc>
          <w:tcPr>
            <w:tcW w:type="dxa" w:w="333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符合 E2，另有會計師、主管機關或原始出具單位的獨立查證／確認，並保留其範圍、日期及結論。</w:t>
            </w:r>
          </w:p>
        </w:tc>
        <w:tc>
          <w:tcPr>
            <w:tcW w:type="dxa" w:w="333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可說明外部覆核到何種範圍；不得擴大為外部單位未確認的事實。</w:t>
            </w:r>
          </w:p>
        </w:tc>
      </w:tr>
    </w:tbl>
    <w:p>
      <w:pPr>
        <w:pStyle w:val="Heading1"/>
        <w:keepNext/>
        <w:keepLines/>
        <w:pageBreakBefore w:val="0"/>
        <w:spacing w:before="160" w:after="80"/>
      </w:pPr>
      <w:r>
        <w:rPr>
          <w:rFonts w:ascii="Microsoft JhengHei" w:hAnsi="Microsoft JhengHei" w:eastAsia="Microsoft JhengHei"/>
          <w:b/>
          <w:color w:val="173F66"/>
          <w:sz w:val="26"/>
        </w:rPr>
        <w:t>四、每個數字從哪裡來（原始資料血緣與取得清單）</w:t>
      </w:r>
    </w:p>
    <w:p>
      <w:pPr>
        <w:spacing w:after="80" w:line="259" w:lineRule="auto"/>
      </w:pPr>
      <w:r>
        <w:rPr>
          <w:rFonts w:ascii="Microsoft JhengHei" w:hAnsi="Microsoft JhengHei" w:eastAsia="Microsoft JhengHei"/>
          <w:b w:val="0"/>
          <w:color w:val="243447"/>
          <w:sz w:val="21"/>
        </w:rPr>
        <w:t>逐項記錄原始出具者、取得日期、期間、檔名、頁次／欄位、檔案雜湊及覆核者。會員姓名與個資留在權限控管的原件；本報告使用去識別代碼。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25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66"/>
          </w:tcPr>
          <w:p>
            <w:pPr>
              <w:spacing w:before="0" w:after="0" w:line="254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來源代碼／資料</w:t>
            </w:r>
          </w:p>
        </w:tc>
        <w:tc>
          <w:tcPr>
            <w:tcW w:type="dxa" w:w="25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66"/>
          </w:tcPr>
          <w:p>
            <w:pPr>
              <w:spacing w:before="0" w:after="0" w:line="254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應取得的原始欄位或用途</w:t>
            </w:r>
          </w:p>
        </w:tc>
        <w:tc>
          <w:tcPr>
            <w:tcW w:type="dxa" w:w="25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66"/>
          </w:tcPr>
          <w:p>
            <w:pPr>
              <w:spacing w:before="0" w:after="0" w:line="254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檔名／位置／頁次／SHA-256</w:t>
            </w:r>
          </w:p>
        </w:tc>
        <w:tc>
          <w:tcPr>
            <w:tcW w:type="dxa" w:w="25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66"/>
          </w:tcPr>
          <w:p>
            <w:pPr>
              <w:spacing w:before="0" w:after="0" w:line="254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來源狀態／覆核</w:t>
            </w:r>
          </w:p>
        </w:tc>
      </w:tr>
      <w:tr>
        <w:trPr>
          <w:cantSplit/>
        </w:trPr>
        <w:tc>
          <w:tcPr>
            <w:tcW w:type="dxa" w:w="25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S1 會員資格與會費規則</w:t>
            </w:r>
          </w:p>
        </w:tc>
        <w:tc>
          <w:tcPr>
            <w:tcW w:type="dxa" w:w="25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章程、會員類別、入退會生效規則、年度會費標準與核定依據。</w:t>
            </w:r>
          </w:p>
        </w:tc>
        <w:tc>
          <w:tcPr>
            <w:tcW w:type="dxa" w:w="25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[待真實資料]</w:t>
            </w:r>
          </w:p>
        </w:tc>
        <w:tc>
          <w:tcPr>
            <w:tcW w:type="dxa" w:w="25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待取得／待核</w:t>
            </w:r>
          </w:p>
        </w:tc>
      </w:tr>
      <w:tr>
        <w:trPr>
          <w:cantSplit/>
        </w:trPr>
        <w:tc>
          <w:tcPr>
            <w:tcW w:type="dxa" w:w="25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S2 年度會員名冊</w:t>
            </w:r>
          </w:p>
        </w:tc>
        <w:tc>
          <w:tcPr>
            <w:tcW w:type="dxa" w:w="25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各年度末有效會員、類別、唯一代碼、名冊日期及版本。</w:t>
            </w:r>
          </w:p>
        </w:tc>
        <w:tc>
          <w:tcPr>
            <w:tcW w:type="dxa" w:w="25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[待真實資料]</w:t>
            </w:r>
          </w:p>
        </w:tc>
        <w:tc>
          <w:tcPr>
            <w:tcW w:type="dxa" w:w="25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待取得／待核</w:t>
            </w:r>
          </w:p>
        </w:tc>
      </w:tr>
      <w:tr>
        <w:trPr>
          <w:cantSplit/>
        </w:trPr>
        <w:tc>
          <w:tcPr>
            <w:tcW w:type="dxa" w:w="25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S3 會員異動紀錄</w:t>
            </w:r>
          </w:p>
        </w:tc>
        <w:tc>
          <w:tcPr>
            <w:tcW w:type="dxa" w:w="25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新增、復會、退會、除名等生效日期及原始依據；連接期初與期末。</w:t>
            </w:r>
          </w:p>
        </w:tc>
        <w:tc>
          <w:tcPr>
            <w:tcW w:type="dxa" w:w="25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[待真實資料]</w:t>
            </w:r>
          </w:p>
        </w:tc>
        <w:tc>
          <w:tcPr>
            <w:tcW w:type="dxa" w:w="25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待取得／待核</w:t>
            </w:r>
          </w:p>
        </w:tc>
      </w:tr>
      <w:tr>
        <w:trPr>
          <w:cantSplit/>
        </w:trPr>
        <w:tc>
          <w:tcPr>
            <w:tcW w:type="dxa" w:w="25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S4 會費收取原件</w:t>
            </w:r>
          </w:p>
        </w:tc>
        <w:tc>
          <w:tcPr>
            <w:tcW w:type="dxa" w:w="25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應收名單／金額、收據、匯款或銀行紀錄、收款日期、欠繳與退款。</w:t>
            </w:r>
          </w:p>
        </w:tc>
        <w:tc>
          <w:tcPr>
            <w:tcW w:type="dxa" w:w="25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[待真實資料]</w:t>
            </w:r>
          </w:p>
        </w:tc>
        <w:tc>
          <w:tcPr>
            <w:tcW w:type="dxa" w:w="25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待取得／待核</w:t>
            </w:r>
          </w:p>
        </w:tc>
      </w:tr>
      <w:tr>
        <w:trPr>
          <w:cantSplit/>
        </w:trPr>
        <w:tc>
          <w:tcPr>
            <w:tcW w:type="dxa" w:w="25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S5 帳務與年度報表</w:t>
            </w:r>
          </w:p>
        </w:tc>
        <w:tc>
          <w:tcPr>
            <w:tcW w:type="dxa" w:w="25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會費科目明細、總帳、收支報表或經核定的年度財務報表。</w:t>
            </w:r>
          </w:p>
        </w:tc>
        <w:tc>
          <w:tcPr>
            <w:tcW w:type="dxa" w:w="25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[待真實資料]</w:t>
            </w:r>
          </w:p>
        </w:tc>
        <w:tc>
          <w:tcPr>
            <w:tcW w:type="dxa" w:w="25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待取得／待核</w:t>
            </w:r>
          </w:p>
        </w:tc>
      </w:tr>
      <w:tr>
        <w:trPr>
          <w:cantSplit/>
        </w:trPr>
        <w:tc>
          <w:tcPr>
            <w:tcW w:type="dxa" w:w="25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S6 減免與差異依據</w:t>
            </w:r>
          </w:p>
        </w:tc>
        <w:tc>
          <w:tcPr>
            <w:tcW w:type="dxa" w:w="25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核定減免、補收、沖銷、跨年度收款、科目變更及差異說明。</w:t>
            </w:r>
          </w:p>
        </w:tc>
        <w:tc>
          <w:tcPr>
            <w:tcW w:type="dxa" w:w="25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[待真實資料]</w:t>
            </w:r>
          </w:p>
        </w:tc>
        <w:tc>
          <w:tcPr>
            <w:tcW w:type="dxa" w:w="25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待取得／待核</w:t>
            </w:r>
          </w:p>
        </w:tc>
      </w:tr>
      <w:tr>
        <w:trPr>
          <w:cantSplit/>
        </w:trPr>
        <w:tc>
          <w:tcPr>
            <w:tcW w:type="dxa" w:w="25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S7 覆核與權限紀錄</w:t>
            </w:r>
          </w:p>
        </w:tc>
        <w:tc>
          <w:tcPr>
            <w:tcW w:type="dxa" w:w="25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承辦、覆核、核定權限、日期、調閱位置及資料使用授權。</w:t>
            </w:r>
          </w:p>
        </w:tc>
        <w:tc>
          <w:tcPr>
            <w:tcW w:type="dxa" w:w="25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[待真實資料]</w:t>
            </w:r>
          </w:p>
        </w:tc>
        <w:tc>
          <w:tcPr>
            <w:tcW w:type="dxa" w:w="25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待取得／待核</w:t>
            </w:r>
          </w:p>
        </w:tc>
      </w:tr>
    </w:tbl>
    <w:p>
      <w:pPr>
        <w:pStyle w:val="Heading1"/>
        <w:keepNext/>
        <w:keepLines/>
        <w:pageBreakBefore w:val="0"/>
        <w:spacing w:before="160" w:after="80"/>
      </w:pPr>
      <w:r>
        <w:rPr>
          <w:rFonts w:ascii="Microsoft JhengHei" w:hAnsi="Microsoft JhengHei" w:eastAsia="Microsoft JhengHei"/>
          <w:b/>
          <w:color w:val="173F66"/>
          <w:sz w:val="26"/>
        </w:rPr>
        <w:t>五、會員人數前後能不能對得上（名冊勾稽）</w:t>
      </w:r>
    </w:p>
    <w:p>
      <w:pPr>
        <w:spacing w:after="80" w:line="259" w:lineRule="auto"/>
      </w:pPr>
      <w:r>
        <w:rPr>
          <w:rFonts w:ascii="Microsoft JhengHei" w:hAnsi="Microsoft JhengHei" w:eastAsia="Microsoft JhengHei"/>
          <w:b w:val="0"/>
          <w:color w:val="243447"/>
          <w:sz w:val="21"/>
        </w:rPr>
        <w:t>會員期末數應由同一會員定義的期初數加新增／復會、減退會／除名等有效異動計得；異動類別依本會正式規則及原件確認，不自行新增未核定類別。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68"/>
        <w:gridCol w:w="1668"/>
        <w:gridCol w:w="1668"/>
        <w:gridCol w:w="1668"/>
        <w:gridCol w:w="1668"/>
        <w:gridCol w:w="1668"/>
      </w:tblGrid>
      <w:tr>
        <w:trPr>
          <w:tblHeader w:val="true"/>
          <w:cantSplit/>
        </w:trPr>
        <w:tc>
          <w:tcPr>
            <w:tcW w:type="dxa" w:w="16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66"/>
          </w:tcPr>
          <w:p>
            <w:pPr>
              <w:spacing w:before="0" w:after="0" w:line="254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會計年度末</w:t>
            </w:r>
          </w:p>
        </w:tc>
        <w:tc>
          <w:tcPr>
            <w:tcW w:type="dxa" w:w="16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66"/>
          </w:tcPr>
          <w:p>
            <w:pPr>
              <w:spacing w:before="0" w:after="0" w:line="254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期初有效會員</w:t>
            </w:r>
          </w:p>
        </w:tc>
        <w:tc>
          <w:tcPr>
            <w:tcW w:type="dxa" w:w="16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66"/>
          </w:tcPr>
          <w:p>
            <w:pPr>
              <w:spacing w:before="0" w:after="0" w:line="254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新增／復會</w:t>
            </w:r>
          </w:p>
        </w:tc>
        <w:tc>
          <w:tcPr>
            <w:tcW w:type="dxa" w:w="16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66"/>
          </w:tcPr>
          <w:p>
            <w:pPr>
              <w:spacing w:before="0" w:after="0" w:line="254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退會／除名等</w:t>
            </w:r>
          </w:p>
        </w:tc>
        <w:tc>
          <w:tcPr>
            <w:tcW w:type="dxa" w:w="16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66"/>
          </w:tcPr>
          <w:p>
            <w:pPr>
              <w:spacing w:before="0" w:after="0" w:line="254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期末有效會員</w:t>
            </w:r>
          </w:p>
        </w:tc>
        <w:tc>
          <w:tcPr>
            <w:tcW w:type="dxa" w:w="16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66"/>
          </w:tcPr>
          <w:p>
            <w:pPr>
              <w:spacing w:before="0" w:after="0" w:line="254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名冊版本／位置／覆核</w:t>
            </w:r>
          </w:p>
        </w:tc>
      </w:tr>
      <w:tr>
        <w:trPr>
          <w:cantSplit/>
        </w:trPr>
        <w:tc>
          <w:tcPr>
            <w:tcW w:type="dxa" w:w="16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[年度一：待填]</w:t>
            </w:r>
          </w:p>
        </w:tc>
        <w:tc>
          <w:tcPr>
            <w:tcW w:type="dxa" w:w="16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[待真實資料]</w:t>
            </w:r>
          </w:p>
        </w:tc>
        <w:tc>
          <w:tcPr>
            <w:tcW w:type="dxa" w:w="16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[待真實資料]</w:t>
            </w:r>
          </w:p>
        </w:tc>
        <w:tc>
          <w:tcPr>
            <w:tcW w:type="dxa" w:w="16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[待真實資料]</w:t>
            </w:r>
          </w:p>
        </w:tc>
        <w:tc>
          <w:tcPr>
            <w:tcW w:type="dxa" w:w="16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[待真實資料]</w:t>
            </w:r>
          </w:p>
        </w:tc>
        <w:tc>
          <w:tcPr>
            <w:tcW w:type="dxa" w:w="16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[待真實資料]</w:t>
            </w:r>
          </w:p>
        </w:tc>
      </w:tr>
      <w:tr>
        <w:trPr>
          <w:cantSplit/>
        </w:trPr>
        <w:tc>
          <w:tcPr>
            <w:tcW w:type="dxa" w:w="16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[年度二：待填]</w:t>
            </w:r>
          </w:p>
        </w:tc>
        <w:tc>
          <w:tcPr>
            <w:tcW w:type="dxa" w:w="16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[待真實資料]</w:t>
            </w:r>
          </w:p>
        </w:tc>
        <w:tc>
          <w:tcPr>
            <w:tcW w:type="dxa" w:w="16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[待真實資料]</w:t>
            </w:r>
          </w:p>
        </w:tc>
        <w:tc>
          <w:tcPr>
            <w:tcW w:type="dxa" w:w="16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[待真實資料]</w:t>
            </w:r>
          </w:p>
        </w:tc>
        <w:tc>
          <w:tcPr>
            <w:tcW w:type="dxa" w:w="16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[待真實資料]</w:t>
            </w:r>
          </w:p>
        </w:tc>
        <w:tc>
          <w:tcPr>
            <w:tcW w:type="dxa" w:w="16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[待真實資料]</w:t>
            </w:r>
          </w:p>
        </w:tc>
      </w:tr>
      <w:tr>
        <w:trPr>
          <w:cantSplit/>
        </w:trPr>
        <w:tc>
          <w:tcPr>
            <w:tcW w:type="dxa" w:w="16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[年度三：待填]</w:t>
            </w:r>
          </w:p>
        </w:tc>
        <w:tc>
          <w:tcPr>
            <w:tcW w:type="dxa" w:w="16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[待真實資料]</w:t>
            </w:r>
          </w:p>
        </w:tc>
        <w:tc>
          <w:tcPr>
            <w:tcW w:type="dxa" w:w="16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[待真實資料]</w:t>
            </w:r>
          </w:p>
        </w:tc>
        <w:tc>
          <w:tcPr>
            <w:tcW w:type="dxa" w:w="16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[待真實資料]</w:t>
            </w:r>
          </w:p>
        </w:tc>
        <w:tc>
          <w:tcPr>
            <w:tcW w:type="dxa" w:w="16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[待真實資料]</w:t>
            </w:r>
          </w:p>
        </w:tc>
        <w:tc>
          <w:tcPr>
            <w:tcW w:type="dxa" w:w="16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[待真實資料]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5"/>
        <w:gridCol w:w="3335"/>
        <w:gridCol w:w="3335"/>
      </w:tblGrid>
      <w:tr>
        <w:trPr>
          <w:tblHeader w:val="true"/>
          <w:cantSplit/>
        </w:trPr>
        <w:tc>
          <w:tcPr>
            <w:tcW w:type="dxa" w:w="333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66"/>
          </w:tcPr>
          <w:p>
            <w:pPr>
              <w:spacing w:before="0" w:after="0" w:line="254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勾稽檢核</w:t>
            </w:r>
          </w:p>
        </w:tc>
        <w:tc>
          <w:tcPr>
            <w:tcW w:type="dxa" w:w="333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66"/>
          </w:tcPr>
          <w:p>
            <w:pPr>
              <w:spacing w:before="0" w:after="0" w:line="254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計算／判斷方式</w:t>
            </w:r>
          </w:p>
        </w:tc>
        <w:tc>
          <w:tcPr>
            <w:tcW w:type="dxa" w:w="333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66"/>
          </w:tcPr>
          <w:p>
            <w:pPr>
              <w:spacing w:before="0" w:after="0" w:line="254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核對結果與差異處理</w:t>
            </w:r>
          </w:p>
        </w:tc>
      </w:tr>
      <w:tr>
        <w:trPr>
          <w:cantSplit/>
        </w:trPr>
        <w:tc>
          <w:tcPr>
            <w:tcW w:type="dxa" w:w="333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年度平衡</w:t>
            </w:r>
          </w:p>
        </w:tc>
        <w:tc>
          <w:tcPr>
            <w:tcW w:type="dxa" w:w="333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期初有效會員＋新增／復會－退出／失效＝期末有效會員。</w:t>
            </w:r>
          </w:p>
        </w:tc>
        <w:tc>
          <w:tcPr>
            <w:tcW w:type="dxa" w:w="333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[待計算；差異為零仍須留原件位置；有差異須列原因與覆核]</w:t>
            </w:r>
          </w:p>
        </w:tc>
      </w:tr>
      <w:tr>
        <w:trPr>
          <w:cantSplit/>
        </w:trPr>
        <w:tc>
          <w:tcPr>
            <w:tcW w:type="dxa" w:w="333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跨年銜接</w:t>
            </w:r>
          </w:p>
        </w:tc>
        <w:tc>
          <w:tcPr>
            <w:tcW w:type="dxa" w:w="333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本年度期初應等於前一年度期末；不同時逐筆追查期間與定義變更。</w:t>
            </w:r>
          </w:p>
        </w:tc>
        <w:tc>
          <w:tcPr>
            <w:tcW w:type="dxa" w:w="333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[待核對]</w:t>
            </w:r>
          </w:p>
        </w:tc>
      </w:tr>
      <w:tr>
        <w:trPr>
          <w:cantSplit/>
        </w:trPr>
        <w:tc>
          <w:tcPr>
            <w:tcW w:type="dxa" w:w="333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重複與資格</w:t>
            </w:r>
          </w:p>
        </w:tc>
        <w:tc>
          <w:tcPr>
            <w:tcW w:type="dxa" w:w="333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依唯一代碼去重，逐年確認會員狀態、類別、資格及生效日。</w:t>
            </w:r>
          </w:p>
        </w:tc>
        <w:tc>
          <w:tcPr>
            <w:tcW w:type="dxa" w:w="333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[待核對]</w:t>
            </w:r>
          </w:p>
        </w:tc>
      </w:tr>
    </w:tbl>
    <w:p>
      <w:pPr>
        <w:pStyle w:val="Heading1"/>
        <w:keepNext/>
        <w:keepLines/>
        <w:pageBreakBefore w:val="0"/>
        <w:spacing w:before="160" w:after="80"/>
      </w:pPr>
      <w:r>
        <w:rPr>
          <w:rFonts w:ascii="Microsoft JhengHei" w:hAnsi="Microsoft JhengHei" w:eastAsia="Microsoft JhengHei"/>
          <w:b/>
          <w:color w:val="173F66"/>
          <w:sz w:val="26"/>
        </w:rPr>
        <w:t>六、會費到底應收多少、實收多少（收入分類）</w:t>
      </w:r>
    </w:p>
    <w:p>
      <w:pPr>
        <w:spacing w:after="80" w:line="259" w:lineRule="auto"/>
      </w:pPr>
      <w:r>
        <w:rPr>
          <w:rFonts w:ascii="Microsoft JhengHei" w:hAnsi="Microsoft JhengHei" w:eastAsia="Microsoft JhengHei"/>
          <w:b w:val="0"/>
          <w:color w:val="243447"/>
          <w:sz w:val="21"/>
        </w:rPr>
        <w:t>本表只計會員會費。課程／服務收入、補助、捐款與其他收入須依帳務來源另行分類，不得併入會費以形成成長。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29"/>
        <w:gridCol w:w="1429"/>
        <w:gridCol w:w="1429"/>
        <w:gridCol w:w="1429"/>
        <w:gridCol w:w="1429"/>
        <w:gridCol w:w="1429"/>
        <w:gridCol w:w="1429"/>
      </w:tblGrid>
      <w:tr>
        <w:trPr>
          <w:tblHeader w:val="true"/>
          <w:cantSplit/>
        </w:trPr>
        <w:tc>
          <w:tcPr>
            <w:tcW w:type="dxa" w:w="1429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66"/>
          </w:tcPr>
          <w:p>
            <w:pPr>
              <w:spacing w:before="0" w:after="0" w:line="254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年度</w:t>
            </w:r>
          </w:p>
        </w:tc>
        <w:tc>
          <w:tcPr>
            <w:tcW w:type="dxa" w:w="1429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66"/>
          </w:tcPr>
          <w:p>
            <w:pPr>
              <w:spacing w:before="0" w:after="0" w:line="254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應收會員數</w:t>
            </w:r>
          </w:p>
        </w:tc>
        <w:tc>
          <w:tcPr>
            <w:tcW w:type="dxa" w:w="1429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66"/>
          </w:tcPr>
          <w:p>
            <w:pPr>
              <w:spacing w:before="0" w:after="0" w:line="254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應收會費</w:t>
            </w:r>
          </w:p>
        </w:tc>
        <w:tc>
          <w:tcPr>
            <w:tcW w:type="dxa" w:w="1429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66"/>
          </w:tcPr>
          <w:p>
            <w:pPr>
              <w:spacing w:before="0" w:after="0" w:line="254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實收會費</w:t>
            </w:r>
          </w:p>
        </w:tc>
        <w:tc>
          <w:tcPr>
            <w:tcW w:type="dxa" w:w="1429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66"/>
          </w:tcPr>
          <w:p>
            <w:pPr>
              <w:spacing w:before="0" w:after="0" w:line="254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減免／欠繳</w:t>
            </w:r>
          </w:p>
        </w:tc>
        <w:tc>
          <w:tcPr>
            <w:tcW w:type="dxa" w:w="1429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66"/>
          </w:tcPr>
          <w:p>
            <w:pPr>
              <w:spacing w:before="0" w:after="0" w:line="254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退款／調整</w:t>
            </w:r>
          </w:p>
        </w:tc>
        <w:tc>
          <w:tcPr>
            <w:tcW w:type="dxa" w:w="1429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66"/>
          </w:tcPr>
          <w:p>
            <w:pPr>
              <w:spacing w:before="0" w:after="0" w:line="254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收據、銀行及帳冊位置／覆核</w:t>
            </w:r>
          </w:p>
        </w:tc>
      </w:tr>
      <w:tr>
        <w:trPr>
          <w:cantSplit/>
        </w:trPr>
        <w:tc>
          <w:tcPr>
            <w:tcW w:type="dxa" w:w="1429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[年度一：待填]</w:t>
            </w:r>
          </w:p>
        </w:tc>
        <w:tc>
          <w:tcPr>
            <w:tcW w:type="dxa" w:w="1429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[待真實資料]</w:t>
            </w:r>
          </w:p>
        </w:tc>
        <w:tc>
          <w:tcPr>
            <w:tcW w:type="dxa" w:w="1429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[待真實資料]</w:t>
            </w:r>
          </w:p>
        </w:tc>
        <w:tc>
          <w:tcPr>
            <w:tcW w:type="dxa" w:w="1429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[待真實資料]</w:t>
            </w:r>
          </w:p>
        </w:tc>
        <w:tc>
          <w:tcPr>
            <w:tcW w:type="dxa" w:w="1429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[待真實資料]</w:t>
            </w:r>
          </w:p>
        </w:tc>
        <w:tc>
          <w:tcPr>
            <w:tcW w:type="dxa" w:w="1429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[待真實資料]</w:t>
            </w:r>
          </w:p>
        </w:tc>
        <w:tc>
          <w:tcPr>
            <w:tcW w:type="dxa" w:w="1429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[待真實資料]</w:t>
            </w:r>
          </w:p>
        </w:tc>
      </w:tr>
      <w:tr>
        <w:trPr>
          <w:cantSplit/>
        </w:trPr>
        <w:tc>
          <w:tcPr>
            <w:tcW w:type="dxa" w:w="1429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[年度二：待填]</w:t>
            </w:r>
          </w:p>
        </w:tc>
        <w:tc>
          <w:tcPr>
            <w:tcW w:type="dxa" w:w="1429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[待真實資料]</w:t>
            </w:r>
          </w:p>
        </w:tc>
        <w:tc>
          <w:tcPr>
            <w:tcW w:type="dxa" w:w="1429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[待真實資料]</w:t>
            </w:r>
          </w:p>
        </w:tc>
        <w:tc>
          <w:tcPr>
            <w:tcW w:type="dxa" w:w="1429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[待真實資料]</w:t>
            </w:r>
          </w:p>
        </w:tc>
        <w:tc>
          <w:tcPr>
            <w:tcW w:type="dxa" w:w="1429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[待真實資料]</w:t>
            </w:r>
          </w:p>
        </w:tc>
        <w:tc>
          <w:tcPr>
            <w:tcW w:type="dxa" w:w="1429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[待真實資料]</w:t>
            </w:r>
          </w:p>
        </w:tc>
        <w:tc>
          <w:tcPr>
            <w:tcW w:type="dxa" w:w="1429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[待真實資料]</w:t>
            </w:r>
          </w:p>
        </w:tc>
      </w:tr>
      <w:tr>
        <w:trPr>
          <w:cantSplit/>
        </w:trPr>
        <w:tc>
          <w:tcPr>
            <w:tcW w:type="dxa" w:w="1429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[年度三：待填]</w:t>
            </w:r>
          </w:p>
        </w:tc>
        <w:tc>
          <w:tcPr>
            <w:tcW w:type="dxa" w:w="1429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[待真實資料]</w:t>
            </w:r>
          </w:p>
        </w:tc>
        <w:tc>
          <w:tcPr>
            <w:tcW w:type="dxa" w:w="1429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[待真實資料]</w:t>
            </w:r>
          </w:p>
        </w:tc>
        <w:tc>
          <w:tcPr>
            <w:tcW w:type="dxa" w:w="1429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[待真實資料]</w:t>
            </w:r>
          </w:p>
        </w:tc>
        <w:tc>
          <w:tcPr>
            <w:tcW w:type="dxa" w:w="1429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[待真實資料]</w:t>
            </w:r>
          </w:p>
        </w:tc>
        <w:tc>
          <w:tcPr>
            <w:tcW w:type="dxa" w:w="1429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[待真實資料]</w:t>
            </w:r>
          </w:p>
        </w:tc>
        <w:tc>
          <w:tcPr>
            <w:tcW w:type="dxa" w:w="1429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[待真實資料]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5"/>
        <w:gridCol w:w="3335"/>
        <w:gridCol w:w="3335"/>
      </w:tblGrid>
      <w:tr>
        <w:trPr>
          <w:tblHeader w:val="true"/>
          <w:cantSplit/>
        </w:trPr>
        <w:tc>
          <w:tcPr>
            <w:tcW w:type="dxa" w:w="333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66"/>
          </w:tcPr>
          <w:p>
            <w:pPr>
              <w:spacing w:before="0" w:after="0" w:line="254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收入類別</w:t>
            </w:r>
          </w:p>
        </w:tc>
        <w:tc>
          <w:tcPr>
            <w:tcW w:type="dxa" w:w="333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66"/>
          </w:tcPr>
          <w:p>
            <w:pPr>
              <w:spacing w:before="0" w:after="0" w:line="254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處理口徑</w:t>
            </w:r>
          </w:p>
        </w:tc>
        <w:tc>
          <w:tcPr>
            <w:tcW w:type="dxa" w:w="333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66"/>
          </w:tcPr>
          <w:p>
            <w:pPr>
              <w:spacing w:before="0" w:after="0" w:line="254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原始帳務欄位／核對位置</w:t>
            </w:r>
          </w:p>
        </w:tc>
      </w:tr>
      <w:tr>
        <w:trPr>
          <w:cantSplit/>
        </w:trPr>
        <w:tc>
          <w:tcPr>
            <w:tcW w:type="dxa" w:w="333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會員會費</w:t>
            </w:r>
          </w:p>
        </w:tc>
        <w:tc>
          <w:tcPr>
            <w:tcW w:type="dxa" w:w="333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列入本件；與核定費率、應收名單、收據／銀行及總帳勾稽。</w:t>
            </w:r>
          </w:p>
        </w:tc>
        <w:tc>
          <w:tcPr>
            <w:tcW w:type="dxa" w:w="333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[待真實資料]</w:t>
            </w:r>
          </w:p>
        </w:tc>
      </w:tr>
      <w:tr>
        <w:trPr>
          <w:cantSplit/>
        </w:trPr>
        <w:tc>
          <w:tcPr>
            <w:tcW w:type="dxa" w:w="333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課程／服務收入</w:t>
            </w:r>
          </w:p>
        </w:tc>
        <w:tc>
          <w:tcPr>
            <w:tcW w:type="dxa" w:w="333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分開列示；不併入會員會費。</w:t>
            </w:r>
          </w:p>
        </w:tc>
        <w:tc>
          <w:tcPr>
            <w:tcW w:type="dxa" w:w="333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[待真實資料]</w:t>
            </w:r>
          </w:p>
        </w:tc>
      </w:tr>
      <w:tr>
        <w:trPr>
          <w:cantSplit/>
        </w:trPr>
        <w:tc>
          <w:tcPr>
            <w:tcW w:type="dxa" w:w="333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補助／捐款</w:t>
            </w:r>
          </w:p>
        </w:tc>
        <w:tc>
          <w:tcPr>
            <w:tcW w:type="dxa" w:w="333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分開列示並依帳務分類；不併入會員會費。</w:t>
            </w:r>
          </w:p>
        </w:tc>
        <w:tc>
          <w:tcPr>
            <w:tcW w:type="dxa" w:w="333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[待真實資料]</w:t>
            </w:r>
          </w:p>
        </w:tc>
      </w:tr>
      <w:tr>
        <w:trPr>
          <w:cantSplit/>
        </w:trPr>
        <w:tc>
          <w:tcPr>
            <w:tcW w:type="dxa" w:w="333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其他收入／調整</w:t>
            </w:r>
          </w:p>
        </w:tc>
        <w:tc>
          <w:tcPr>
            <w:tcW w:type="dxa" w:w="333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逐項說明性質、年度及認列方式；無依據不得改列會費。</w:t>
            </w:r>
          </w:p>
        </w:tc>
        <w:tc>
          <w:tcPr>
            <w:tcW w:type="dxa" w:w="333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[待真實資料]</w:t>
            </w:r>
          </w:p>
        </w:tc>
      </w:tr>
    </w:tbl>
    <w:p>
      <w:pPr>
        <w:pStyle w:val="Heading1"/>
        <w:keepNext/>
        <w:keepLines/>
        <w:pageBreakBefore w:val="0"/>
        <w:spacing w:before="160" w:after="80"/>
      </w:pPr>
      <w:r>
        <w:rPr>
          <w:rFonts w:ascii="Microsoft JhengHei" w:hAnsi="Microsoft JhengHei" w:eastAsia="Microsoft JhengHei"/>
          <w:b/>
          <w:color w:val="173F66"/>
          <w:sz w:val="26"/>
        </w:rPr>
        <w:t>七、指標資料表與計算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25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66"/>
          </w:tcPr>
          <w:p>
            <w:pPr>
              <w:spacing w:before="0" w:after="0" w:line="254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指標／單位</w:t>
            </w:r>
          </w:p>
        </w:tc>
        <w:tc>
          <w:tcPr>
            <w:tcW w:type="dxa" w:w="25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66"/>
          </w:tcPr>
          <w:p>
            <w:pPr>
              <w:spacing w:before="0" w:after="0" w:line="254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分子／分母或母體</w:t>
            </w:r>
          </w:p>
        </w:tc>
        <w:tc>
          <w:tcPr>
            <w:tcW w:type="dxa" w:w="25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66"/>
          </w:tcPr>
          <w:p>
            <w:pPr>
              <w:spacing w:before="0" w:after="0" w:line="254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基準、比較實績與期間</w:t>
            </w:r>
          </w:p>
        </w:tc>
        <w:tc>
          <w:tcPr>
            <w:tcW w:type="dxa" w:w="25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66"/>
          </w:tcPr>
          <w:p>
            <w:pPr>
              <w:spacing w:before="0" w:after="0" w:line="254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事前目標／來源／覆核</w:t>
            </w:r>
          </w:p>
        </w:tc>
      </w:tr>
      <w:tr>
        <w:trPr>
          <w:cantSplit/>
        </w:trPr>
        <w:tc>
          <w:tcPr>
            <w:tcW w:type="dxa" w:w="25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年末有效會員數（人）</w:t>
            </w:r>
          </w:p>
        </w:tc>
        <w:tc>
          <w:tcPr>
            <w:tcW w:type="dxa" w:w="25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分子：年度末符合本會有效會員定義的去重會員數。分母：不適用；另列母體範圍與名冊涵蓋率。</w:t>
            </w:r>
          </w:p>
        </w:tc>
        <w:tc>
          <w:tcPr>
            <w:tcW w:type="dxa" w:w="25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基準年度： [待填]；比較年度： [待填]；三年各年度原始人數及定義：[待填]。</w:t>
            </w:r>
          </w:p>
        </w:tc>
        <w:tc>
          <w:tcPr>
            <w:tcW w:type="dxa" w:w="25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目標：[事前核定值／未核定]；來源：S2/S3；覆核：[待填]。</w:t>
            </w:r>
          </w:p>
        </w:tc>
      </w:tr>
      <w:tr>
        <w:trPr>
          <w:cantSplit/>
        </w:trPr>
        <w:tc>
          <w:tcPr>
            <w:tcW w:type="dxa" w:w="25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會員人數年增率（%）</w:t>
            </w:r>
          </w:p>
        </w:tc>
        <w:tc>
          <w:tcPr>
            <w:tcW w:type="dxa" w:w="25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分子：本年度末人數－前年度末人數。分母：前年度末有效會員數。</w:t>
            </w:r>
          </w:p>
        </w:tc>
        <w:tc>
          <w:tcPr>
            <w:tcW w:type="dxa" w:w="25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各年度逐年比較；若基期為 0 或會員定義變更，不計百分比，改列絕對差並說明。</w:t>
            </w:r>
          </w:p>
        </w:tc>
        <w:tc>
          <w:tcPr>
            <w:tcW w:type="dxa" w:w="25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目標：[事前核定值／未核定]；來源：S2/S3；覆核：[待填]。</w:t>
            </w:r>
          </w:p>
        </w:tc>
      </w:tr>
      <w:tr>
        <w:trPr>
          <w:cantSplit/>
        </w:trPr>
        <w:tc>
          <w:tcPr>
            <w:tcW w:type="dxa" w:w="25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會費實收額（新臺幣）</w:t>
            </w:r>
          </w:p>
        </w:tc>
        <w:tc>
          <w:tcPr>
            <w:tcW w:type="dxa" w:w="25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分子：該年度依一致會計口徑確認的實收會員會費總額。分母：不適用；另列應收會員及應收金額。</w:t>
            </w:r>
          </w:p>
        </w:tc>
        <w:tc>
          <w:tcPr>
            <w:tcW w:type="dxa" w:w="25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基準年度：[待填]；比較年度：[待填]；金額須與收據、銀行及帳冊勾稽。</w:t>
            </w:r>
          </w:p>
        </w:tc>
        <w:tc>
          <w:tcPr>
            <w:tcW w:type="dxa" w:w="25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目標：[事前核定值／未核定]；來源：S4/S5/S6；覆核：[待填]。</w:t>
            </w:r>
          </w:p>
        </w:tc>
      </w:tr>
      <w:tr>
        <w:trPr>
          <w:cantSplit/>
        </w:trPr>
        <w:tc>
          <w:tcPr>
            <w:tcW w:type="dxa" w:w="25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會費實收年增率（%）</w:t>
            </w:r>
          </w:p>
        </w:tc>
        <w:tc>
          <w:tcPr>
            <w:tcW w:type="dxa" w:w="25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分子：本年度實收會費－前年度實收會費。分母：前年度同口徑實收會費。</w:t>
            </w:r>
          </w:p>
        </w:tc>
        <w:tc>
          <w:tcPr>
            <w:tcW w:type="dxa" w:w="25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逐年列絕對差、年增率及會計基礎；基期為 0 或口徑不可比時不計百分比。</w:t>
            </w:r>
          </w:p>
        </w:tc>
        <w:tc>
          <w:tcPr>
            <w:tcW w:type="dxa" w:w="25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目標：[事前核定值／未核定]；來源：S4/S5/S6；覆核：[待填]。</w:t>
            </w:r>
          </w:p>
        </w:tc>
      </w:tr>
    </w:tbl>
    <w:p>
      <w:pPr>
        <w:spacing w:after="80" w:line="259" w:lineRule="auto"/>
      </w:pPr>
      <w:r>
        <w:rPr>
          <w:rFonts w:ascii="Microsoft JhengHei" w:hAnsi="Microsoft JhengHei" w:eastAsia="Microsoft JhengHei"/>
          <w:b w:val="0"/>
          <w:color w:val="243447"/>
          <w:sz w:val="21"/>
        </w:rPr>
        <w:t>公式：會員年增率＝（本年度末有效會員數－前年度末有效會員數）÷前年度末有效會員數 × 100%；會費實收年增率＝（本年度同口徑實收會費－前年度同口徑實收會費）÷前年度同口徑實收會費 × 100%。</w:t>
      </w:r>
    </w:p>
    <w:p>
      <w:pPr>
        <w:spacing w:after="80" w:line="259" w:lineRule="auto"/>
      </w:pPr>
      <w:r>
        <w:rPr>
          <w:rFonts w:ascii="Microsoft JhengHei" w:hAnsi="Microsoft JhengHei" w:eastAsia="Microsoft JhengHei"/>
          <w:b w:val="0"/>
          <w:color w:val="243447"/>
          <w:sz w:val="21"/>
        </w:rPr>
        <w:t>不同年度不得混用現金制與權責制；遇會費標準、認列科目、財務期間或資格定義變更，先揭露變更並建立可比口徑，否則不下連續成長結論。</w:t>
      </w:r>
    </w:p>
    <w:p>
      <w:pPr>
        <w:pStyle w:val="Heading1"/>
        <w:keepNext/>
        <w:keepLines/>
        <w:pageBreakBefore w:val="0"/>
        <w:spacing w:before="160" w:after="80"/>
      </w:pPr>
      <w:r>
        <w:rPr>
          <w:rFonts w:ascii="Microsoft JhengHei" w:hAnsi="Microsoft JhengHei" w:eastAsia="Microsoft JhengHei"/>
          <w:b/>
          <w:color w:val="173F66"/>
          <w:sz w:val="26"/>
        </w:rPr>
        <w:t>八、把年度變化畫出來（待真實資料）</w:t>
      </w:r>
    </w:p>
    <w:p>
      <w:pPr>
        <w:spacing w:after="80" w:line="259" w:lineRule="auto"/>
      </w:pPr>
      <w:r>
        <w:rPr>
          <w:rFonts w:ascii="Microsoft JhengHei" w:hAnsi="Microsoft JhengHei" w:eastAsia="Microsoft JhengHei"/>
          <w:b w:val="0"/>
          <w:color w:val="243447"/>
          <w:sz w:val="21"/>
        </w:rPr>
        <w:t>圖 1：年度末有效會員數趨勢，橫軸為連續會計年度，縱軸為會員人數 n。圖 2：同期間會員會費實收金額趨勢，縱軸為新臺幣；與會員人數分圖呈現，避免不同單位共用刻度。</w:t>
      </w:r>
    </w:p>
    <w:p>
      <w:pPr>
        <w:spacing w:after="80" w:line="259" w:lineRule="auto"/>
      </w:pPr>
      <w:r>
        <w:rPr>
          <w:rFonts w:ascii="Microsoft JhengHei" w:hAnsi="Microsoft JhengHei" w:eastAsia="Microsoft JhengHei"/>
          <w:b w:val="0"/>
          <w:color w:val="243447"/>
          <w:sz w:val="21"/>
        </w:rPr>
        <w:t>目前沒有已核實年度數值，本稿不繪曲線、不填示例點。完成下表並核對來源後，才以同一年度定義繪圖；圖上須標明期間、n／金額、會計基礎及來源。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68"/>
        <w:gridCol w:w="1668"/>
        <w:gridCol w:w="1668"/>
        <w:gridCol w:w="1668"/>
        <w:gridCol w:w="1668"/>
        <w:gridCol w:w="1668"/>
      </w:tblGrid>
      <w:tr>
        <w:trPr>
          <w:tblHeader w:val="true"/>
          <w:cantSplit/>
        </w:trPr>
        <w:tc>
          <w:tcPr>
            <w:tcW w:type="dxa" w:w="16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66"/>
          </w:tcPr>
          <w:p>
            <w:pPr>
              <w:spacing w:before="0" w:after="0" w:line="254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年度／期間</w:t>
            </w:r>
          </w:p>
        </w:tc>
        <w:tc>
          <w:tcPr>
            <w:tcW w:type="dxa" w:w="16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66"/>
          </w:tcPr>
          <w:p>
            <w:pPr>
              <w:spacing w:before="0" w:after="0" w:line="254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年末有效會員數 n</w:t>
            </w:r>
          </w:p>
        </w:tc>
        <w:tc>
          <w:tcPr>
            <w:tcW w:type="dxa" w:w="16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66"/>
          </w:tcPr>
          <w:p>
            <w:pPr>
              <w:spacing w:before="0" w:after="0" w:line="254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會員會費實收額（新臺幣）</w:t>
            </w:r>
          </w:p>
        </w:tc>
        <w:tc>
          <w:tcPr>
            <w:tcW w:type="dxa" w:w="16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66"/>
          </w:tcPr>
          <w:p>
            <w:pPr>
              <w:spacing w:before="0" w:after="0" w:line="254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會費認列基礎</w:t>
            </w:r>
          </w:p>
        </w:tc>
        <w:tc>
          <w:tcPr>
            <w:tcW w:type="dxa" w:w="16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66"/>
          </w:tcPr>
          <w:p>
            <w:pPr>
              <w:spacing w:before="0" w:after="0" w:line="254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資料來源代碼／位置</w:t>
            </w:r>
          </w:p>
        </w:tc>
        <w:tc>
          <w:tcPr>
            <w:tcW w:type="dxa" w:w="16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66"/>
          </w:tcPr>
          <w:p>
            <w:pPr>
              <w:spacing w:before="0" w:after="0" w:line="254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覆核狀態</w:t>
            </w:r>
          </w:p>
        </w:tc>
      </w:tr>
      <w:tr>
        <w:trPr>
          <w:cantSplit/>
        </w:trPr>
        <w:tc>
          <w:tcPr>
            <w:tcW w:type="dxa" w:w="16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[年度一：待填]</w:t>
            </w:r>
          </w:p>
        </w:tc>
        <w:tc>
          <w:tcPr>
            <w:tcW w:type="dxa" w:w="16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[待真實資料]</w:t>
            </w:r>
          </w:p>
        </w:tc>
        <w:tc>
          <w:tcPr>
            <w:tcW w:type="dxa" w:w="16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[待真實資料]</w:t>
            </w:r>
          </w:p>
        </w:tc>
        <w:tc>
          <w:tcPr>
            <w:tcW w:type="dxa" w:w="16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[待核定口徑]</w:t>
            </w:r>
          </w:p>
        </w:tc>
        <w:tc>
          <w:tcPr>
            <w:tcW w:type="dxa" w:w="16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[S2/S4/S5位置]</w:t>
            </w:r>
          </w:p>
        </w:tc>
        <w:tc>
          <w:tcPr>
            <w:tcW w:type="dxa" w:w="16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待核</w:t>
            </w:r>
          </w:p>
        </w:tc>
      </w:tr>
      <w:tr>
        <w:trPr>
          <w:cantSplit/>
        </w:trPr>
        <w:tc>
          <w:tcPr>
            <w:tcW w:type="dxa" w:w="16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[年度二：待填]</w:t>
            </w:r>
          </w:p>
        </w:tc>
        <w:tc>
          <w:tcPr>
            <w:tcW w:type="dxa" w:w="16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[待真實資料]</w:t>
            </w:r>
          </w:p>
        </w:tc>
        <w:tc>
          <w:tcPr>
            <w:tcW w:type="dxa" w:w="16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[待真實資料]</w:t>
            </w:r>
          </w:p>
        </w:tc>
        <w:tc>
          <w:tcPr>
            <w:tcW w:type="dxa" w:w="16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[待核定口徑]</w:t>
            </w:r>
          </w:p>
        </w:tc>
        <w:tc>
          <w:tcPr>
            <w:tcW w:type="dxa" w:w="16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[S2/S4/S5位置]</w:t>
            </w:r>
          </w:p>
        </w:tc>
        <w:tc>
          <w:tcPr>
            <w:tcW w:type="dxa" w:w="16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待核</w:t>
            </w:r>
          </w:p>
        </w:tc>
      </w:tr>
      <w:tr>
        <w:trPr>
          <w:cantSplit/>
        </w:trPr>
        <w:tc>
          <w:tcPr>
            <w:tcW w:type="dxa" w:w="16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[年度三：待填]</w:t>
            </w:r>
          </w:p>
        </w:tc>
        <w:tc>
          <w:tcPr>
            <w:tcW w:type="dxa" w:w="16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[待真實資料]</w:t>
            </w:r>
          </w:p>
        </w:tc>
        <w:tc>
          <w:tcPr>
            <w:tcW w:type="dxa" w:w="16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[待真實資料]</w:t>
            </w:r>
          </w:p>
        </w:tc>
        <w:tc>
          <w:tcPr>
            <w:tcW w:type="dxa" w:w="16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[待核定口徑]</w:t>
            </w:r>
          </w:p>
        </w:tc>
        <w:tc>
          <w:tcPr>
            <w:tcW w:type="dxa" w:w="16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[S2/S4/S5位置]</w:t>
            </w:r>
          </w:p>
        </w:tc>
        <w:tc>
          <w:tcPr>
            <w:tcW w:type="dxa" w:w="16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待核</w:t>
            </w:r>
          </w:p>
        </w:tc>
      </w:tr>
    </w:tbl>
    <w:p>
      <w:pPr>
        <w:spacing w:after="80" w:line="259" w:lineRule="auto"/>
      </w:pPr>
      <w:r>
        <w:rPr>
          <w:rFonts w:ascii="Microsoft JhengHei" w:hAnsi="Microsoft JhengHei" w:eastAsia="Microsoft JhengHei"/>
          <w:b w:val="0"/>
          <w:color w:val="243447"/>
          <w:sz w:val="21"/>
        </w:rPr>
        <w:t>圖表輸出位置：圖 1 [待填：核實後插入會員人數圖]；圖 2 [待填：核實後插入會費實收額圖]。本文件目前僅提供圖表規格與資料欄，不含假資料或假趨勢。</w:t>
      </w:r>
    </w:p>
    <w:p>
      <w:pPr>
        <w:pStyle w:val="Heading2"/>
        <w:keepNext/>
        <w:keepLines/>
        <w:pageBreakBefore w:val="0"/>
        <w:spacing w:before="100" w:after="80"/>
      </w:pPr>
      <w:r>
        <w:rPr>
          <w:rFonts w:ascii="Microsoft JhengHei" w:hAnsi="Microsoft JhengHei" w:eastAsia="Microsoft JhengHei"/>
          <w:b/>
          <w:color w:val="173F66"/>
          <w:sz w:val="22"/>
        </w:rPr>
        <w:t>九、用具體紀錄回查，但不能拿個案代替全體</w:t>
      </w:r>
    </w:p>
    <w:p>
      <w:pPr>
        <w:spacing w:after="80" w:line="259" w:lineRule="auto"/>
      </w:pPr>
      <w:r>
        <w:rPr>
          <w:rFonts w:ascii="Microsoft JhengHei" w:hAnsi="Microsoft JhengHei" w:eastAsia="Microsoft JhengHei"/>
          <w:b w:val="0"/>
          <w:color w:val="243447"/>
          <w:sz w:val="21"/>
        </w:rPr>
        <w:t>只使用可回查且獲授權的去識別紀錄，例如會員資格異動、會費收取或減免的來源鏈；個案說明不得取代年度總數，也不得據此推論訓練成效或因果。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68"/>
        <w:gridCol w:w="1668"/>
        <w:gridCol w:w="1668"/>
        <w:gridCol w:w="1668"/>
        <w:gridCol w:w="1668"/>
        <w:gridCol w:w="1668"/>
      </w:tblGrid>
      <w:tr>
        <w:trPr>
          <w:tblHeader w:val="true"/>
          <w:cantSplit/>
        </w:trPr>
        <w:tc>
          <w:tcPr>
            <w:tcW w:type="dxa" w:w="16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66"/>
          </w:tcPr>
          <w:p>
            <w:pPr>
              <w:spacing w:before="0" w:after="0" w:line="254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案例代碼／期間</w:t>
            </w:r>
          </w:p>
        </w:tc>
        <w:tc>
          <w:tcPr>
            <w:tcW w:type="dxa" w:w="16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66"/>
          </w:tcPr>
          <w:p>
            <w:pPr>
              <w:spacing w:before="0" w:after="0" w:line="254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基線狀態與來源</w:t>
            </w:r>
          </w:p>
        </w:tc>
        <w:tc>
          <w:tcPr>
            <w:tcW w:type="dxa" w:w="16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66"/>
          </w:tcPr>
          <w:p>
            <w:pPr>
              <w:spacing w:before="0" w:after="0" w:line="254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實際異動／事件及日期</w:t>
            </w:r>
          </w:p>
        </w:tc>
        <w:tc>
          <w:tcPr>
            <w:tcW w:type="dxa" w:w="16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66"/>
          </w:tcPr>
          <w:p>
            <w:pPr>
              <w:spacing w:before="0" w:after="0" w:line="254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後續狀態與原件位置</w:t>
            </w:r>
          </w:p>
        </w:tc>
        <w:tc>
          <w:tcPr>
            <w:tcW w:type="dxa" w:w="16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66"/>
          </w:tcPr>
          <w:p>
            <w:pPr>
              <w:spacing w:before="0" w:after="0" w:line="254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個資授權／覆核</w:t>
            </w:r>
          </w:p>
        </w:tc>
        <w:tc>
          <w:tcPr>
            <w:tcW w:type="dxa" w:w="16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66"/>
          </w:tcPr>
          <w:p>
            <w:pPr>
              <w:spacing w:before="0" w:after="0" w:line="254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可支持範圍與限制</w:t>
            </w:r>
          </w:p>
        </w:tc>
      </w:tr>
      <w:tr>
        <w:trPr>
          <w:cantSplit/>
        </w:trPr>
        <w:tc>
          <w:tcPr>
            <w:tcW w:type="dxa" w:w="16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[待填：去識別代碼]</w:t>
            </w:r>
          </w:p>
        </w:tc>
        <w:tc>
          <w:tcPr>
            <w:tcW w:type="dxa" w:w="16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[待真實資料]</w:t>
            </w:r>
          </w:p>
        </w:tc>
        <w:tc>
          <w:tcPr>
            <w:tcW w:type="dxa" w:w="16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[待真實資料]</w:t>
            </w:r>
          </w:p>
        </w:tc>
        <w:tc>
          <w:tcPr>
            <w:tcW w:type="dxa" w:w="16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[待真實資料]</w:t>
            </w:r>
          </w:p>
        </w:tc>
        <w:tc>
          <w:tcPr>
            <w:tcW w:type="dxa" w:w="16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[待核]</w:t>
            </w:r>
          </w:p>
        </w:tc>
        <w:tc>
          <w:tcPr>
            <w:tcW w:type="dxa" w:w="16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[待判；不可單獨代表全體趨勢]</w:t>
            </w:r>
          </w:p>
        </w:tc>
      </w:tr>
      <w:tr>
        <w:trPr>
          <w:cantSplit/>
        </w:trPr>
        <w:tc>
          <w:tcPr>
            <w:tcW w:type="dxa" w:w="16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[待填：去識別代碼]</w:t>
            </w:r>
          </w:p>
        </w:tc>
        <w:tc>
          <w:tcPr>
            <w:tcW w:type="dxa" w:w="16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[待真實資料]</w:t>
            </w:r>
          </w:p>
        </w:tc>
        <w:tc>
          <w:tcPr>
            <w:tcW w:type="dxa" w:w="16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[待真實資料]</w:t>
            </w:r>
          </w:p>
        </w:tc>
        <w:tc>
          <w:tcPr>
            <w:tcW w:type="dxa" w:w="16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[待真實資料]</w:t>
            </w:r>
          </w:p>
        </w:tc>
        <w:tc>
          <w:tcPr>
            <w:tcW w:type="dxa" w:w="16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[待核]</w:t>
            </w:r>
          </w:p>
        </w:tc>
        <w:tc>
          <w:tcPr>
            <w:tcW w:type="dxa" w:w="16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[待判；不可單獨代表全體趨勢]</w:t>
            </w:r>
          </w:p>
        </w:tc>
      </w:tr>
    </w:tbl>
    <w:p>
      <w:pPr>
        <w:pStyle w:val="Heading2"/>
        <w:keepNext/>
        <w:keepLines/>
        <w:pageBreakBefore w:val="0"/>
        <w:spacing w:before="100" w:after="80"/>
      </w:pPr>
      <w:r>
        <w:rPr>
          <w:rFonts w:ascii="Microsoft JhengHei" w:hAnsi="Microsoft JhengHei" w:eastAsia="Microsoft JhengHei"/>
          <w:b/>
          <w:color w:val="173F66"/>
          <w:sz w:val="22"/>
        </w:rPr>
        <w:t>十、和其他指標對資料（I17／I18／I19 交叉驗證）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25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66"/>
          </w:tcPr>
          <w:p>
            <w:pPr>
              <w:spacing w:before="0" w:after="0" w:line="254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交叉項目</w:t>
            </w:r>
          </w:p>
        </w:tc>
        <w:tc>
          <w:tcPr>
            <w:tcW w:type="dxa" w:w="25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66"/>
          </w:tcPr>
          <w:p>
            <w:pPr>
              <w:spacing w:before="0" w:after="0" w:line="254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應核對的關係</w:t>
            </w:r>
          </w:p>
        </w:tc>
        <w:tc>
          <w:tcPr>
            <w:tcW w:type="dxa" w:w="25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66"/>
          </w:tcPr>
          <w:p>
            <w:pPr>
              <w:spacing w:before="0" w:after="0" w:line="254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引用來源／欄位／期間</w:t>
            </w:r>
          </w:p>
        </w:tc>
        <w:tc>
          <w:tcPr>
            <w:tcW w:type="dxa" w:w="25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66"/>
          </w:tcPr>
          <w:p>
            <w:pPr>
              <w:spacing w:before="0" w:after="0" w:line="254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結果與覆核</w:t>
            </w:r>
          </w:p>
        </w:tc>
      </w:tr>
      <w:tr>
        <w:trPr>
          <w:cantSplit/>
        </w:trPr>
        <w:tc>
          <w:tcPr>
            <w:tcW w:type="dxa" w:w="25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I17｜訓練執行與參與資料</w:t>
            </w:r>
          </w:p>
        </w:tc>
        <w:tc>
          <w:tcPr>
            <w:tcW w:type="dxa" w:w="25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只用以核對課程／參與背景；不得拿參訓人次替代會員數或會費數。</w:t>
            </w:r>
          </w:p>
        </w:tc>
        <w:tc>
          <w:tcPr>
            <w:tcW w:type="dxa" w:w="25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[待填：I17文件、原件位置及期間]</w:t>
            </w:r>
          </w:p>
        </w:tc>
        <w:tc>
          <w:tcPr>
            <w:tcW w:type="dxa" w:w="25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[待核／不適用及理由]</w:t>
            </w:r>
          </w:p>
        </w:tc>
      </w:tr>
      <w:tr>
        <w:trPr>
          <w:cantSplit/>
        </w:trPr>
        <w:tc>
          <w:tcPr>
            <w:tcW w:type="dxa" w:w="25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I18｜組織或會員變化</w:t>
            </w:r>
          </w:p>
        </w:tc>
        <w:tc>
          <w:tcPr>
            <w:tcW w:type="dxa" w:w="25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與會員年度變化資料核對同一年度末、資格定義與來源；若引用 I18-E22，回到原始名冊確認。</w:t>
            </w:r>
          </w:p>
        </w:tc>
        <w:tc>
          <w:tcPr>
            <w:tcW w:type="dxa" w:w="25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[待填：I18文件、名冊來源、頁次／欄位]</w:t>
            </w:r>
          </w:p>
        </w:tc>
        <w:tc>
          <w:tcPr>
            <w:tcW w:type="dxa" w:w="25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[待核／差異說明]</w:t>
            </w:r>
          </w:p>
        </w:tc>
      </w:tr>
      <w:tr>
        <w:trPr>
          <w:cantSplit/>
        </w:trPr>
        <w:tc>
          <w:tcPr>
            <w:tcW w:type="dxa" w:w="25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I19｜其他成果／組織收入（含 E32）</w:t>
            </w:r>
          </w:p>
        </w:tc>
        <w:tc>
          <w:tcPr>
            <w:tcW w:type="dxa" w:w="25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與其他 I19 結果以引用為主；E23只擁有會員及會費數，E32之總收入／非會費收入另列並核對，不重複計算。</w:t>
            </w:r>
          </w:p>
        </w:tc>
        <w:tc>
          <w:tcPr>
            <w:tcW w:type="dxa" w:w="25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[待填：I19文件、科目、原件位置]</w:t>
            </w:r>
          </w:p>
        </w:tc>
        <w:tc>
          <w:tcPr>
            <w:tcW w:type="dxa" w:w="25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[待核／差異說明]</w:t>
            </w:r>
          </w:p>
        </w:tc>
      </w:tr>
    </w:tbl>
    <w:p>
      <w:pPr>
        <w:pStyle w:val="Heading1"/>
        <w:keepNext/>
        <w:keepLines/>
        <w:pageBreakBefore w:val="0"/>
        <w:spacing w:before="160" w:after="80"/>
      </w:pPr>
      <w:r>
        <w:rPr>
          <w:rFonts w:ascii="Microsoft JhengHei" w:hAnsi="Microsoft JhengHei" w:eastAsia="Microsoft JhengHei"/>
          <w:b/>
          <w:color w:val="173F66"/>
          <w:sz w:val="26"/>
        </w:rPr>
        <w:t>十一、最後怎麼下結論、寫限制、決定改善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5"/>
        <w:gridCol w:w="3335"/>
        <w:gridCol w:w="3335"/>
      </w:tblGrid>
      <w:tr>
        <w:trPr>
          <w:tblHeader w:val="true"/>
          <w:cantSplit/>
        </w:trPr>
        <w:tc>
          <w:tcPr>
            <w:tcW w:type="dxa" w:w="333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66"/>
          </w:tcPr>
          <w:p>
            <w:pPr>
              <w:spacing w:before="0" w:after="0" w:line="254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判讀問題</w:t>
            </w:r>
          </w:p>
        </w:tc>
        <w:tc>
          <w:tcPr>
            <w:tcW w:type="dxa" w:w="333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66"/>
          </w:tcPr>
          <w:p>
            <w:pPr>
              <w:spacing w:before="0" w:after="0" w:line="254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結果欄／規則</w:t>
            </w:r>
          </w:p>
        </w:tc>
        <w:tc>
          <w:tcPr>
            <w:tcW w:type="dxa" w:w="333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66"/>
          </w:tcPr>
          <w:p>
            <w:pPr>
              <w:spacing w:before="0" w:after="0" w:line="254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最低證據或處理</w:t>
            </w:r>
          </w:p>
        </w:tc>
      </w:tr>
      <w:tr>
        <w:trPr>
          <w:cantSplit/>
        </w:trPr>
        <w:tc>
          <w:tcPr>
            <w:tcW w:type="dxa" w:w="333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三年是否完整且可比？</w:t>
            </w:r>
          </w:p>
        </w:tc>
        <w:tc>
          <w:tcPr>
            <w:tcW w:type="dxa" w:w="333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[待填：完整／不完整／不可比]</w:t>
            </w:r>
          </w:p>
        </w:tc>
        <w:tc>
          <w:tcPr>
            <w:tcW w:type="dxa" w:w="333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列年度、期間、定義、會費標準、認列基礎及變更。</w:t>
            </w:r>
          </w:p>
        </w:tc>
      </w:tr>
      <w:tr>
        <w:trPr>
          <w:cantSplit/>
        </w:trPr>
        <w:tc>
          <w:tcPr>
            <w:tcW w:type="dxa" w:w="333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會員數是否逐年增加？</w:t>
            </w:r>
          </w:p>
        </w:tc>
        <w:tc>
          <w:tcPr>
            <w:tcW w:type="dxa" w:w="333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[待填：增加／未增加／尚無法判定]</w:t>
            </w:r>
          </w:p>
        </w:tc>
        <w:tc>
          <w:tcPr>
            <w:tcW w:type="dxa" w:w="333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三個年度末名冊與異動勾稽均可回查；逐年比較。</w:t>
            </w:r>
          </w:p>
        </w:tc>
      </w:tr>
      <w:tr>
        <w:trPr>
          <w:cantSplit/>
        </w:trPr>
        <w:tc>
          <w:tcPr>
            <w:tcW w:type="dxa" w:w="333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會費實收是否逐年增加？</w:t>
            </w:r>
          </w:p>
        </w:tc>
        <w:tc>
          <w:tcPr>
            <w:tcW w:type="dxa" w:w="333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[待填：增加／未增加／尚無法判定]</w:t>
            </w:r>
          </w:p>
        </w:tc>
        <w:tc>
          <w:tcPr>
            <w:tcW w:type="dxa" w:w="333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收據、銀行紀錄、明細帳與總帳勾稽；排除非會費收入。</w:t>
            </w:r>
          </w:p>
        </w:tc>
      </w:tr>
      <w:tr>
        <w:trPr>
          <w:cantSplit/>
        </w:trPr>
        <w:tc>
          <w:tcPr>
            <w:tcW w:type="dxa" w:w="333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證據強度與限制</w:t>
            </w:r>
          </w:p>
        </w:tc>
        <w:tc>
          <w:tcPr>
            <w:tcW w:type="dxa" w:w="333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[待填：本文件 E0–E3 工作分級；待缺資料與覆核]</w:t>
            </w:r>
          </w:p>
        </w:tc>
        <w:tc>
          <w:tcPr>
            <w:tcW w:type="dxa" w:w="333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說明缺漏、欠繳、減免、未結帳、口徑差異、未回覆及可歸因範圍。</w:t>
            </w:r>
          </w:p>
        </w:tc>
      </w:tr>
      <w:tr>
        <w:trPr>
          <w:cantSplit/>
        </w:trPr>
        <w:tc>
          <w:tcPr>
            <w:tcW w:type="dxa" w:w="333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直接回答查核要求</w:t>
            </w:r>
          </w:p>
        </w:tc>
        <w:tc>
          <w:tcPr>
            <w:tcW w:type="dxa" w:w="333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[待填：按會員數及會費實收逐年分別作結論；兩者均具證據才可回答「均逐年增加」]</w:t>
            </w:r>
          </w:p>
        </w:tc>
        <w:tc>
          <w:tcPr>
            <w:tcW w:type="dxa" w:w="333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不以計畫目標、單一個案、總收入或課程收入推論。</w:t>
            </w:r>
          </w:p>
        </w:tc>
      </w:tr>
    </w:tbl>
    <w:p>
      <w:pPr>
        <w:spacing w:after="80" w:line="259" w:lineRule="auto"/>
      </w:pPr>
      <w:r>
        <w:rPr>
          <w:rFonts w:ascii="Microsoft JhengHei" w:hAnsi="Microsoft JhengHei" w:eastAsia="Microsoft JhengHei"/>
          <w:b w:val="0"/>
          <w:color w:val="243447"/>
          <w:sz w:val="21"/>
        </w:rPr>
        <w:t>分析結論草稿：[待原始資料及覆核完成後填寫：期間＿＿；會員數趨勢＿＿；會費實收趨勢＿＿；是否支持官方要求＿＿；主要限制＿＿；來源位置＿＿。]</w:t>
      </w:r>
    </w:p>
    <w:p>
      <w:pPr>
        <w:pStyle w:val="Heading2"/>
        <w:keepNext/>
        <w:keepLines/>
        <w:pageBreakBefore w:val="0"/>
        <w:spacing w:before="100" w:after="80"/>
      </w:pPr>
      <w:r>
        <w:rPr>
          <w:rFonts w:ascii="Microsoft JhengHei" w:hAnsi="Microsoft JhengHei" w:eastAsia="Microsoft JhengHei"/>
          <w:b/>
          <w:color w:val="173F66"/>
          <w:sz w:val="22"/>
        </w:rPr>
        <w:t>改善／擴散決策與下次驗證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  <w:cantSplit/>
        </w:trPr>
        <w:tc>
          <w:tcPr>
            <w:tcW w:type="dxa" w:w="20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66"/>
          </w:tcPr>
          <w:p>
            <w:pPr>
              <w:spacing w:before="0" w:after="0" w:line="254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差異／原因或可行作法</w:t>
            </w:r>
          </w:p>
        </w:tc>
        <w:tc>
          <w:tcPr>
            <w:tcW w:type="dxa" w:w="20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66"/>
          </w:tcPr>
          <w:p>
            <w:pPr>
              <w:spacing w:before="0" w:after="0" w:line="254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改善／維持／擴散決定</w:t>
            </w:r>
          </w:p>
        </w:tc>
        <w:tc>
          <w:tcPr>
            <w:tcW w:type="dxa" w:w="20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66"/>
          </w:tcPr>
          <w:p>
            <w:pPr>
              <w:spacing w:before="0" w:after="0" w:line="254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責任角色／期限</w:t>
            </w:r>
          </w:p>
        </w:tc>
        <w:tc>
          <w:tcPr>
            <w:tcW w:type="dxa" w:w="20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66"/>
          </w:tcPr>
          <w:p>
            <w:pPr>
              <w:spacing w:before="0" w:after="0" w:line="254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下次指標與期間</w:t>
            </w:r>
          </w:p>
        </w:tc>
        <w:tc>
          <w:tcPr>
            <w:tcW w:type="dxa" w:w="20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66"/>
          </w:tcPr>
          <w:p>
            <w:pPr>
              <w:spacing w:before="0" w:after="0" w:line="254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驗證來源／覆核</w:t>
            </w:r>
          </w:p>
        </w:tc>
      </w:tr>
      <w:tr>
        <w:trPr>
          <w:cantSplit/>
        </w:trPr>
        <w:tc>
          <w:tcPr>
            <w:tcW w:type="dxa" w:w="20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[待據真實差異與原因填寫]</w:t>
            </w:r>
          </w:p>
        </w:tc>
        <w:tc>
          <w:tcPr>
            <w:tcW w:type="dxa" w:w="20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[待討論；未核定不標為決議]</w:t>
            </w:r>
          </w:p>
        </w:tc>
        <w:tc>
          <w:tcPr>
            <w:tcW w:type="dxa" w:w="20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[待填]</w:t>
            </w:r>
          </w:p>
        </w:tc>
        <w:tc>
          <w:tcPr>
            <w:tcW w:type="dxa" w:w="20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[待填：會員／會費口徑及時間]</w:t>
            </w:r>
          </w:p>
        </w:tc>
        <w:tc>
          <w:tcPr>
            <w:tcW w:type="dxa" w:w="20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[待填]</w:t>
            </w:r>
          </w:p>
        </w:tc>
      </w:tr>
      <w:tr>
        <w:trPr>
          <w:cantSplit/>
        </w:trPr>
        <w:tc>
          <w:tcPr>
            <w:tcW w:type="dxa" w:w="20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[待據真實差異與原因填寫]</w:t>
            </w:r>
          </w:p>
        </w:tc>
        <w:tc>
          <w:tcPr>
            <w:tcW w:type="dxa" w:w="20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[待討論；未核定不標為決議]</w:t>
            </w:r>
          </w:p>
        </w:tc>
        <w:tc>
          <w:tcPr>
            <w:tcW w:type="dxa" w:w="20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[待填]</w:t>
            </w:r>
          </w:p>
        </w:tc>
        <w:tc>
          <w:tcPr>
            <w:tcW w:type="dxa" w:w="20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[待填：會員／會費口徑及時間]</w:t>
            </w:r>
          </w:p>
        </w:tc>
        <w:tc>
          <w:tcPr>
            <w:tcW w:type="dxa" w:w="20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[待填]</w:t>
            </w:r>
          </w:p>
        </w:tc>
      </w:tr>
    </w:tbl>
    <w:p>
      <w:pPr>
        <w:spacing w:after="80" w:line="259" w:lineRule="auto"/>
      </w:pPr>
      <w:r>
        <w:rPr>
          <w:rFonts w:ascii="Microsoft JhengHei" w:hAnsi="Microsoft JhengHei" w:eastAsia="Microsoft JhengHei"/>
          <w:b w:val="0"/>
          <w:color w:val="243447"/>
          <w:sz w:val="21"/>
        </w:rPr>
        <w:t>如發現成長，不直接歸因於健康教育或傳統整復推拿課程；須有適當期間、可核對的介入資料及其他因素分析。課程內容依實際市場需求另行檢討，不從會員／會費變化臆測需求。</w:t>
      </w:r>
    </w:p>
    <w:p>
      <w:pPr>
        <w:pStyle w:val="Heading2"/>
        <w:keepNext/>
        <w:keepLines/>
        <w:pageBreakBefore w:val="0"/>
        <w:spacing w:before="100" w:after="80"/>
      </w:pPr>
      <w:r>
        <w:rPr>
          <w:rFonts w:ascii="Microsoft JhengHei" w:hAnsi="Microsoft JhengHei" w:eastAsia="Microsoft JhengHei"/>
          <w:b/>
          <w:color w:val="173F66"/>
          <w:sz w:val="22"/>
        </w:rPr>
        <w:t>十二、最後確認與附件索引（稽核／升格檢核）</w:t>
      </w:r>
    </w:p>
    <w:p>
      <w:pPr>
        <w:spacing w:after="80" w:line="259" w:lineRule="auto"/>
      </w:pPr>
      <w:r>
        <w:rPr>
          <w:rFonts w:ascii="Microsoft JhengHei" w:hAnsi="Microsoft JhengHei" w:eastAsia="Microsoft JhengHei"/>
          <w:b w:val="0"/>
          <w:color w:val="243447"/>
          <w:sz w:val="21"/>
        </w:rPr>
        <w:t>升格前逐件補齊：正式會員與會費規則；連續年度末會員名冊及異動原件；會費應收／實收、減免及欠費依據；收據、銀行紀錄、總帳與年度報表；差異處理；來源位置與 SHA-256；資料權限與授權；承辦及覆核紀錄。缺任一關鍵年度或無法勾稽時，結論保持「尚無法判定」。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  <w:cantSplit/>
        </w:trPr>
        <w:tc>
          <w:tcPr>
            <w:tcW w:type="dxa" w:w="20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66"/>
          </w:tcPr>
          <w:p>
            <w:pPr>
              <w:spacing w:before="0" w:after="0" w:line="254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附件代碼</w:t>
            </w:r>
          </w:p>
        </w:tc>
        <w:tc>
          <w:tcPr>
            <w:tcW w:type="dxa" w:w="20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66"/>
          </w:tcPr>
          <w:p>
            <w:pPr>
              <w:spacing w:before="0" w:after="0" w:line="254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原件名稱／出具者</w:t>
            </w:r>
          </w:p>
        </w:tc>
        <w:tc>
          <w:tcPr>
            <w:tcW w:type="dxa" w:w="20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66"/>
          </w:tcPr>
          <w:p>
            <w:pPr>
              <w:spacing w:before="0" w:after="0" w:line="254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日期／涵蓋期間</w:t>
            </w:r>
          </w:p>
        </w:tc>
        <w:tc>
          <w:tcPr>
            <w:tcW w:type="dxa" w:w="20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66"/>
          </w:tcPr>
          <w:p>
            <w:pPr>
              <w:spacing w:before="0" w:after="0" w:line="254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頁次／欄位／位置</w:t>
            </w:r>
          </w:p>
        </w:tc>
        <w:tc>
          <w:tcPr>
            <w:tcW w:type="dxa" w:w="20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66"/>
          </w:tcPr>
          <w:p>
            <w:pPr>
              <w:spacing w:before="0" w:after="0" w:line="254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SHA-256／狀態／覆核</w:t>
            </w:r>
          </w:p>
        </w:tc>
      </w:tr>
      <w:tr>
        <w:trPr>
          <w:cantSplit/>
        </w:trPr>
        <w:tc>
          <w:tcPr>
            <w:tcW w:type="dxa" w:w="20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A01</w:t>
            </w:r>
          </w:p>
        </w:tc>
        <w:tc>
          <w:tcPr>
            <w:tcW w:type="dxa" w:w="20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[待真實資料]</w:t>
            </w:r>
          </w:p>
        </w:tc>
        <w:tc>
          <w:tcPr>
            <w:tcW w:type="dxa" w:w="20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[待填]</w:t>
            </w:r>
          </w:p>
        </w:tc>
        <w:tc>
          <w:tcPr>
            <w:tcW w:type="dxa" w:w="20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[待填]</w:t>
            </w:r>
          </w:p>
        </w:tc>
        <w:tc>
          <w:tcPr>
            <w:tcW w:type="dxa" w:w="20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[待填]</w:t>
            </w:r>
          </w:p>
        </w:tc>
      </w:tr>
      <w:tr>
        <w:trPr>
          <w:cantSplit/>
        </w:trPr>
        <w:tc>
          <w:tcPr>
            <w:tcW w:type="dxa" w:w="20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A02</w:t>
            </w:r>
          </w:p>
        </w:tc>
        <w:tc>
          <w:tcPr>
            <w:tcW w:type="dxa" w:w="20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[待真實資料]</w:t>
            </w:r>
          </w:p>
        </w:tc>
        <w:tc>
          <w:tcPr>
            <w:tcW w:type="dxa" w:w="20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[待填]</w:t>
            </w:r>
          </w:p>
        </w:tc>
        <w:tc>
          <w:tcPr>
            <w:tcW w:type="dxa" w:w="20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[待填]</w:t>
            </w:r>
          </w:p>
        </w:tc>
        <w:tc>
          <w:tcPr>
            <w:tcW w:type="dxa" w:w="20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[待填]</w:t>
            </w:r>
          </w:p>
        </w:tc>
      </w:tr>
      <w:tr>
        <w:trPr>
          <w:cantSplit/>
        </w:trPr>
        <w:tc>
          <w:tcPr>
            <w:tcW w:type="dxa" w:w="20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A03</w:t>
            </w:r>
          </w:p>
        </w:tc>
        <w:tc>
          <w:tcPr>
            <w:tcW w:type="dxa" w:w="20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[待真實資料]</w:t>
            </w:r>
          </w:p>
        </w:tc>
        <w:tc>
          <w:tcPr>
            <w:tcW w:type="dxa" w:w="20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[待填]</w:t>
            </w:r>
          </w:p>
        </w:tc>
        <w:tc>
          <w:tcPr>
            <w:tcW w:type="dxa" w:w="20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[待填]</w:t>
            </w:r>
          </w:p>
        </w:tc>
        <w:tc>
          <w:tcPr>
            <w:tcW w:type="dxa" w:w="20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[待填]</w:t>
            </w:r>
          </w:p>
        </w:tc>
      </w:tr>
      <w:tr>
        <w:trPr>
          <w:cantSplit/>
        </w:trPr>
        <w:tc>
          <w:tcPr>
            <w:tcW w:type="dxa" w:w="20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A04</w:t>
            </w:r>
          </w:p>
        </w:tc>
        <w:tc>
          <w:tcPr>
            <w:tcW w:type="dxa" w:w="20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[待真實資料]</w:t>
            </w:r>
          </w:p>
        </w:tc>
        <w:tc>
          <w:tcPr>
            <w:tcW w:type="dxa" w:w="20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[待填]</w:t>
            </w:r>
          </w:p>
        </w:tc>
        <w:tc>
          <w:tcPr>
            <w:tcW w:type="dxa" w:w="20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[待填]</w:t>
            </w:r>
          </w:p>
        </w:tc>
        <w:tc>
          <w:tcPr>
            <w:tcW w:type="dxa" w:w="20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[待填]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5"/>
        <w:gridCol w:w="3335"/>
        <w:gridCol w:w="3335"/>
      </w:tblGrid>
      <w:tr>
        <w:trPr>
          <w:tblHeader w:val="true"/>
          <w:cantSplit/>
        </w:trPr>
        <w:tc>
          <w:tcPr>
            <w:tcW w:type="dxa" w:w="333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66"/>
          </w:tcPr>
          <w:p>
            <w:pPr>
              <w:spacing w:before="0" w:after="0" w:line="254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填寫角色／日期</w:t>
            </w:r>
          </w:p>
        </w:tc>
        <w:tc>
          <w:tcPr>
            <w:tcW w:type="dxa" w:w="333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66"/>
          </w:tcPr>
          <w:p>
            <w:pPr>
              <w:spacing w:before="0" w:after="0" w:line="254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核對項目</w:t>
            </w:r>
          </w:p>
        </w:tc>
        <w:tc>
          <w:tcPr>
            <w:tcW w:type="dxa" w:w="333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66"/>
          </w:tcPr>
          <w:p>
            <w:pPr>
              <w:spacing w:before="0" w:after="0" w:line="254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姓名／簽核／原件位置</w:t>
            </w:r>
          </w:p>
        </w:tc>
      </w:tr>
      <w:tr>
        <w:trPr>
          <w:cantSplit/>
        </w:trPr>
        <w:tc>
          <w:tcPr>
            <w:tcW w:type="dxa" w:w="333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承辦人：[待填]</w:t>
            </w:r>
          </w:p>
        </w:tc>
        <w:tc>
          <w:tcPr>
            <w:tcW w:type="dxa" w:w="333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資料錄入及公式底稿；含待補清單。</w:t>
            </w:r>
          </w:p>
        </w:tc>
        <w:tc>
          <w:tcPr>
            <w:tcW w:type="dxa" w:w="333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[待實際填寫]</w:t>
            </w:r>
          </w:p>
        </w:tc>
      </w:tr>
      <w:tr>
        <w:trPr>
          <w:cantSplit/>
        </w:trPr>
        <w:tc>
          <w:tcPr>
            <w:tcW w:type="dxa" w:w="333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覆核人：[待填]</w:t>
            </w:r>
          </w:p>
        </w:tc>
        <w:tc>
          <w:tcPr>
            <w:tcW w:type="dxa" w:w="333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年度母體、勾稽、來源與計算；不得只覆核結論。</w:t>
            </w:r>
          </w:p>
        </w:tc>
        <w:tc>
          <w:tcPr>
            <w:tcW w:type="dxa" w:w="333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[待實際填寫]</w:t>
            </w:r>
          </w:p>
        </w:tc>
      </w:tr>
      <w:tr>
        <w:trPr>
          <w:cantSplit/>
        </w:trPr>
        <w:tc>
          <w:tcPr>
            <w:tcW w:type="dxa" w:w="333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核定權責：[待填]</w:t>
            </w:r>
          </w:p>
        </w:tc>
        <w:tc>
          <w:tcPr>
            <w:tcW w:type="dxa" w:w="333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核定目標、工作分級與可對外使用範圍；未核定保持草稿。</w:t>
            </w:r>
          </w:p>
        </w:tc>
        <w:tc>
          <w:tcPr>
            <w:tcW w:type="dxa" w:w="333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[待核定；不得代簽]</w:t>
            </w:r>
          </w:p>
        </w:tc>
      </w:tr>
    </w:tbl>
    <w:p>
      <w:pPr>
        <w:keepNext w:val="0"/>
        <w:spacing w:before="0" w:after="0" w:line="20" w:lineRule="exact"/>
      </w:pPr>
      <w:r>
        <w:rPr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</w:r>
    <w:r>
      <w:rPr>
        <w:rFonts w:ascii="Microsoft JhengHei" w:hAnsi="Microsoft JhengHei" w:eastAsia="Microsoft JhengHei"/>
        <w:b w:val="0"/>
        <w:color w:val="62748A"/>
        <w:sz w:val="16"/>
      </w:rPr>
      <w:instrText xml:space="preserve"> PAGE </w:instrTex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00"/>
    </w:pPr>
    <w:rPr>
      <w:rFonts w:ascii="Microsoft JhengHei" w:hAnsi="Microsoft JhengHei" w:eastAsia="Microsoft JhengHei"/>
      <w:b w:val="0"/>
      <w:color w:val="24364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 w:before="16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會員人數及會費收入逐年變化分析報告</dc:title>
  <dc:subject>I19-E23成果／價值量化與驗證工作稿；待補本會真實名冊及會費原件</dc:subject>
  <dc:creator>社團法人屏東縣原始點關懷協會</dc:creator>
  <cp:keywords>I19-E23,會員人數,會費收入,待真實資料,工作稿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