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目標客戶及學員滿意度調查作業程序草案</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提出可重複執行的調查、回收、分析、回饋及改善流程，讓滿意度資料可追溯。</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經權責核定後依每一實際課程／服務執行；目前為草案，尚未表示已核定或實施。</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先看目的與權責，再看八步驟、分母規則及紀錄清單。</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目前未提供已核定的調查制度或執行紀錄。本文件是待核定程序草案，不表示已執行調查。</w:t>
            </w:r>
          </w:p>
        </w:tc>
      </w:tr>
    </w:tbl>
    <w:p>
      <w:pPr>
        <w:spacing w:after="0" w:before="0" w:line="20" w:lineRule="exact"/>
      </w:pPr>
    </w:p>
    <w:p>
      <w:pPr>
        <w:keepLines/>
      </w:pPr>
      <w:r>
        <w:rPr>
          <w:rFonts w:ascii="Microsoft JhengHei" w:hAnsi="Microsoft JhengHei" w:eastAsia="Microsoft JhengHei"/>
          <w:b w:val="0"/>
          <w:color w:val="24364B"/>
          <w:sz w:val="22"/>
        </w:rPr>
        <w:t>對應查核項目：建立目標客戶及學員滿意度調查機制（系統及流程面）。</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本件待補：責任角色、實際課程安排、核定紀錄、問卷版本、回收資料及改善追蹤。</w:t>
      </w:r>
    </w:p>
    <w:p>
      <w:pPr>
        <w:pStyle w:val="Heading1"/>
        <w:keepNext/>
      </w:pPr>
      <w:r>
        <w:rPr>
          <w:rFonts w:ascii="Microsoft JhengHei" w:hAnsi="Microsoft JhengHei" w:eastAsia="Microsoft JhengHei"/>
          <w:b/>
          <w:color w:val="183B63"/>
          <w:sz w:val="30"/>
        </w:rPr>
        <w:t>一、目的、範圍與基本原則</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草案內容</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目的</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以一致方式了解學員及目標客戶對需求切合、教學安排、溝通與課程效用的評價，據以檢討服務。</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適用範圍</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協會實際辦理並納入調查的健康教育、傳統整復推拿技術及依市場需求規劃的其他課程。</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評價對象</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學員、委託／目標客戶及適用時的雇主或合作單位，分開整理，不混為同一母體。</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基本原則</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自願、尊重、最少個資、保留負面意見、明確分母；滿意度不替代能力、行為或績效評量。</w:t>
            </w:r>
          </w:p>
        </w:tc>
      </w:tr>
    </w:tbl>
    <w:p>
      <w:pPr>
        <w:spacing w:after="0" w:before="0" w:line="20" w:lineRule="exact"/>
      </w:pPr>
    </w:p>
    <w:p>
      <w:pPr>
        <w:pStyle w:val="Heading1"/>
        <w:keepNext/>
      </w:pPr>
      <w:r>
        <w:rPr>
          <w:rFonts w:ascii="Microsoft JhengHei" w:hAnsi="Microsoft JhengHei" w:eastAsia="Microsoft JhengHei"/>
          <w:b/>
          <w:color w:val="183B63"/>
          <w:sz w:val="30"/>
        </w:rPr>
        <w:t>二、角色與責任（待核定指派）</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角色</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責任</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調查承辦</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建立適用對象及時程，使用核定版問卷，記錄發放、回收與缺漏。</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資料覆核人</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核對分子分母、重複／無效回覆、個資去識別及計算口徑。</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課程負責角色</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解讀結果與限制，提出改善事項、責任角色及完成期限。</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核定權責角色</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核定本程序、問卷重大修訂及改善資源；實際職稱待協會決定。</w:t>
            </w:r>
          </w:p>
        </w:tc>
      </w:tr>
    </w:tbl>
    <w:p>
      <w:pPr>
        <w:spacing w:after="0" w:before="0" w:line="20" w:lineRule="exact"/>
      </w:pPr>
    </w:p>
    <w:p>
      <w:pPr>
        <w:pStyle w:val="Heading1"/>
        <w:keepNext/>
      </w:pPr>
      <w:r>
        <w:rPr>
          <w:rFonts w:ascii="Microsoft JhengHei" w:hAnsi="Microsoft JhengHei" w:eastAsia="Microsoft JhengHei"/>
          <w:b/>
          <w:color w:val="183B63"/>
          <w:sz w:val="30"/>
        </w:rPr>
        <w:t>三、調查作業流程</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步驟</w:t>
            </w:r>
          </w:p>
        </w:tc>
        <w:tc>
          <w:tcPr>
            <w:tcW w:type="dxa" w:w="55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作業要求</w:t>
            </w:r>
          </w:p>
        </w:tc>
        <w:tc>
          <w:tcPr>
            <w:tcW w:type="dxa" w:w="32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留存紀錄</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1.界定</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確認調查目的、對象、問題與時點；排除不適用者須說明。</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計畫／納入條件</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2.設計</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問項對應目的；完成用語、選項、匿名及個資檢查。</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問卷版本／檢核表</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3.告知</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說明自願性、用途、保管角色、保存方式及撤回管道。</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告知文字／同意紀錄</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4.發放</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選紙本或電子方式；避免授課或評分人員要求正面作答。</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發放清冊／日期</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5.回收</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記錄應填人數、已回覆數、未回覆、無效或撤回。</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回收及缺漏登錄</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6.檢核</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剔除重複／明顯無效資料前記錄規則，不任意刪除負面意見。</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資料檢核表</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7.分析</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分別呈現學員、客戶及適用其他群體；附N值、分母與限制。</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分析表／摘要</w:t>
            </w:r>
          </w:p>
        </w:tc>
      </w:tr>
      <w:tr>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8.改善</w:t>
            </w:r>
          </w:p>
        </w:tc>
        <w:tc>
          <w:tcPr>
            <w:tcW w:type="dxa" w:w="55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將差距連到具體行動、責任、期限及後續檢查。</w:t>
            </w:r>
          </w:p>
        </w:tc>
        <w:tc>
          <w:tcPr>
            <w:tcW w:type="dxa" w:w="32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改善追蹤表</w:t>
            </w:r>
          </w:p>
        </w:tc>
      </w:tr>
    </w:tbl>
    <w:p>
      <w:pPr>
        <w:spacing w:after="0" w:before="0" w:line="20" w:lineRule="exact"/>
      </w:pPr>
    </w:p>
    <w:p>
      <w:pPr>
        <w:pStyle w:val="Heading1"/>
        <w:keepNext/>
      </w:pPr>
      <w:r>
        <w:rPr>
          <w:rFonts w:ascii="Microsoft JhengHei" w:hAnsi="Microsoft JhengHei" w:eastAsia="Microsoft JhengHei"/>
          <w:b/>
          <w:color w:val="183B63"/>
          <w:sz w:val="30"/>
        </w:rPr>
        <w:t>四、計算與判讀規則</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規則</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回收率</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有效回覆數 ÷ 符合條件且已邀請人數；另列未回覆、拒答及無效數。</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題目平均</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有效作答分數總和 ÷ 該題有效作答人數；「不適用／空白」不納入。</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正向比例</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選擇4或5的人數 ÷ 該題有效作答人數；同時列人數與百分比。</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分群</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學員與客戶分開；樣本少或可能辨識個人時不揭露細分結果。</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能力與績效</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滿意度只代表評價；能力、工作應用及組織成果須用各自證據，不推因果。</w:t>
            </w:r>
          </w:p>
        </w:tc>
      </w:tr>
    </w:tbl>
    <w:p>
      <w:pPr>
        <w:spacing w:after="0" w:before="0" w:line="20" w:lineRule="exact"/>
      </w:pPr>
    </w:p>
    <w:p>
      <w:pPr>
        <w:pStyle w:val="Heading1"/>
        <w:keepNext/>
      </w:pPr>
      <w:r>
        <w:rPr>
          <w:rFonts w:ascii="Microsoft JhengHei" w:hAnsi="Microsoft JhengHei" w:eastAsia="Microsoft JhengHei"/>
          <w:b/>
          <w:color w:val="183B63"/>
          <w:sz w:val="30"/>
        </w:rPr>
        <w:t>五、核定、保存與版本</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控制項</w:t>
            </w:r>
          </w:p>
        </w:tc>
        <w:tc>
          <w:tcPr>
            <w:tcW w:type="dxa" w:w="77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待核定內容</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生效條件</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完成制定、覆核、核定及公告後始得作為正式程序。</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記錄編號、版次、生效日、修訂理由及適用課程。</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資料保護</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指定存取角色與保存位置；保存年限依核定之法令／文件規範填列。</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修訂觸發</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法規或課程範圍變動、資料品質問題、重大負面意見或改善無效時檢討。</w:t>
            </w:r>
          </w:p>
        </w:tc>
      </w:tr>
      <w:tr>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本程序狀態</w:t>
            </w:r>
          </w:p>
        </w:tc>
        <w:tc>
          <w:tcPr>
            <w:tcW w:type="dxa" w:w="77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□草案　□待覆核　□待核定　□核定後生效；核定紀錄：[待補]</w:t>
            </w:r>
          </w:p>
        </w:tc>
      </w:tr>
    </w:tbl>
    <w:p>
      <w:pPr>
        <w:spacing w:after="0" w:before="0" w:line="20" w:lineRule="exact"/>
      </w:pP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程序核定及公告</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尚未提供</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[待補；未核定前不宣稱實施]</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各班問卷與分析紀錄</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實際執行後形成</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擬稿／日期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核定權責／日期與依據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目標客戶及學員滿意度調查作業程序草案</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