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訓練方案設計與審查改善紀錄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年度／課程檢討表及改善追蹤欄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相關文件紀錄能顯示近年來訓練目標、訓練方法、課程時程安排、師資遴選、學員遴選條件、 訓練教材、設施與環境、訓練評估方法等的檢討及改善過程。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按課程與期間整理設計、執行和評量資料，逐項記錄檢討依據、問題、改善決定及後續覆核；未取得歷年資料時不得回填假紀錄。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官方列示的訓練目標、方法、時程、師資、學員、教材、設施環境及評估方法八類檢討欄。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實際課程版本、歷年設計資料、師資／學員遴選紀錄、教材／設備資料、評量與改善證據。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一、適用方式與現況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本表供逐課程、逐期間檢查訓練方案設計及其改善歷程。現階段未取得可核實的本會歷年課程設計和檢討紀錄；下表為待填模板，不代表協會近年已辦理相關訓練或完成改善。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二、訓練方案設計檢討清單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816"/>
        <w:gridCol w:w="2088"/>
        <w:gridCol w:w="2664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檢討項目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查核問題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證據／版次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發現與處置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訓練目標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目標是否對應已確認需求及職能，且可評量？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訓練方法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方法是否適合目標、對象及風險？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課程時程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單元安排、時段及練習時間是否符合方案設計？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師資遴選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遴選條件及資格核驗是否適配課程任務？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學員遴選條件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參訓條件、必要前備及支持方式是否清楚？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訓練教材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內容、來源、版次、授權及教學目標是否一致？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設施與環境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場地、設備、可近性及安全安排是否適切？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訓練評估方法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工具能否量測目標，資料和判定方式是否可追溯？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三、單次檢討紀錄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紀錄欄位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課程／版本／檢討期間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[待補；連結核定版及實際執行期間]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檢討啟動原因與資料範圍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[待補；標明資料來源、缺漏及不能推論的範圍]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參與審查的功能及利益關係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[待填實際人員或功能、意見來源及利益關係處理]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逐項發現與證據定位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[對應第二節項目；檔名、頁碼、紀錄日期及核驗方式]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修正決定與未採納意見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[逐項記錄理由、責任功能、期限及所需核定]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核定版次與公告／保存位置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[待補真實核定與文件管制資料]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改善後回看及結果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[待完成後填入原始評量／查核資料；未執行留白]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四、改善追蹤表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952"/>
        <w:gridCol w:w="2160"/>
        <w:gridCol w:w="273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問題／依據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改善工作與責任功能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完成條件／期限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覆核證據與結果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[待完成後填入]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[待完成後填入]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[待完成後填入]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對應查核項目：相關文件紀錄能顯示近年來訓練目標、訓練方法、課程時程安排、師資遴選、學員遴選條件、 訓練教材、設施與環境、訓練評估方法等的檢討及改善過程。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訓練方案設計與審查改善紀錄</dc:title>
  <dc:subject>相關文件紀錄能顯示近年來訓練目標、訓練方法、課程時程安排、師資遴選、學員遴選條件、 訓練教材、設施與環境、訓練評估方法等的檢討及改善過程。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