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課程規劃書與利益關係人意見納入紀錄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I09-E01｜指標 9｜文件 0041｜草案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記錄課程規劃如何納入講師、行政、企業學員及用人主管意見，並保留意見至設計與審查的追溯鏈。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先看角色意見表、課程設計回應、議題決議與附件索引。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真實課程版本、各角色原始意見、審查／決議及核定紀錄。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一、課程識別與規劃依據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每一擬議或修訂課程各填一份。先記錄需求證據與意見來源，再將每項意見連結到課程目標、單元、教學安排或評量；未有來源的欄位維持待填。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34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待填內容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課程暫定名稱／版本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待填；不得先標成已核定課程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規劃目的與預期對象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待填；說明對應的健康教育或傳統整復推拿技術方向，仍須依真實需求確認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需求來源與日期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待填；附訪談、問卷、委託需求或其他原件索引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能力差距與學習目標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待填；使用可觀察、可評量的描述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規劃／審查狀態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待填；草擬、送審、退修或核定；需附狀態依據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二、利益關係人意見納入設計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以下列示應蒐集的角色類別；角色名稱不代表該人已參與。每一項意見均記錄來源、對應課程欄位、採納或未採納理由及覆核證據。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2232"/>
        <w:gridCol w:w="2952"/>
        <w:gridCol w:w="151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角色／觀點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來源及日期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需求或意見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設計回應／理由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講師／專家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訓練行政人員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企業學員／目標學員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用人主管／需求單位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委託單位／客戶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高階主管或其他利害關係人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三、課程設計與審查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3096"/>
        <w:gridCol w:w="158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設計項目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需求／意見依據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課程目標與可觀察成果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單元順序、時數與內容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教學方法、教材與環境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評量方式、標準與證據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安全、非醫療界線與必要資源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四、討論事項、決議與追蹤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944"/>
        <w:gridCol w:w="2808"/>
        <w:gridCol w:w="1656"/>
        <w:gridCol w:w="172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議題／證據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發言角色及意見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決議或未採納理由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驗證證據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決議完成率＝已完成且經驗證的決議數 ÷ 已到期決議數。統計期間、母數、完成判定及證據須依真實紀錄界定；無到期決議時填「不適用」並說明。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講師、行政、企業學員及用人主管意見納入規劃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角色、來源、日期、意見、設計回應與證據編號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待實際課程規劃與審查紀錄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決議及追蹤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決議、責任、期限、完成證據、完成率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待真實會議紀錄與附件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課程規劃書（能顯示包含講師、行政、企業學員、用人之主管之意見納入課程設計與審查之考量）。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課程規劃書與利益關係人意見納入紀錄</dc:title>
  <dc:subject>課程規劃書（能顯示包含講師、行政、企業學員、用人之主管之意見納入課程設計與審查之考量）。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