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30"/>
      </w:pPr>
      <w:r>
        <w:rPr>
          <w:rFonts w:ascii="Microsoft JhengHei" w:hAnsi="Microsoft JhengHei" w:eastAsia="Microsoft JhengHei"/>
          <w:b/>
          <w:color w:val="183B63"/>
          <w:sz w:val="37"/>
        </w:rPr>
        <w:t>需求單位訪談紀錄與統計分析工具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 w:val="0"/>
          <w:color w:val="245A81"/>
          <w:sz w:val="18"/>
        </w:rPr>
        <w:t>I09-E03｜指標 9｜文件 0043｜草案 R01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工作稿｜尚待填入真實原始資料及完成本會審議核定；不表示課程已核定、會議已召開、採購已發生、訪談已執行或已取得成果。</w:t>
            </w:r>
          </w:p>
        </w:tc>
      </w:tr>
    </w:tbl>
    <w:p>
      <w:pPr>
        <w:spacing w:after="6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8453"/>
      </w:tblGrid>
      <w:tr>
        <w:trPr>
          <w:tblHeader w:val="true"/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快速閱讀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內容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以訪談題綱、逐案紀錄、量尺、統計口徑及需求優先矩陣支持課程需求判讀。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評核焦點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先看抽樣設定、題綱、缺失處理、公式及需求—課程決策表。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已知範圍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社團法人屏東縣原始點關懷協會；協會方向依使用者指定：以健康教育及傳統整復推拿技術為核心，並保留依實際市場需求發展多元課程的空間。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正式使用前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真實受訪對象、訪談同意與原始紀錄、樣本母數及統計資料。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文件管制欄位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016"/>
        <w:gridCol w:w="2448"/>
        <w:gridCol w:w="381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文件編號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版次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狀態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待編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草案 R01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未核定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一、訪談設計與執行設定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本工具用於向需求單位了解訓練需要，並將訪談紀錄轉為可核對的統計與課程設計依據。此文件不是已完成的訪談或調查報告。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488"/>
      </w:tblGrid>
      <w:tr>
        <w:trPr>
          <w:tblHeader w:val="true"/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設定項目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待填／執行指引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需求單位與受訪角色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待填；記錄選取理由，不在本稿預填機構或姓名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訪談目的及決策用途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待填；例如辨識工作情境、能力差距及訓練優先順序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母體、抽樣及涵蓋範圍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待填；說明母體定義、抽取方式、排除條件與限制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日期、方式及訪談者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同意、個資與紀錄方式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依本會適用規範確認；僅蒐集決策必要資料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二、半結構式訪談題綱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5112"/>
        <w:gridCol w:w="3384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構面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建議主問句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追問／紀錄欄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需求情境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目前希望改善或完成的工作任務是什麼？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待填；保留受訪者原意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目標對象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哪些角色需要參訓？其先備經驗有何差異？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能力差距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完成任務需要哪些知識、技能或態度？目前困難在哪裡？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優先程度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若只能先處理一項，哪項最急迫？原因與影響為何？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課程條件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可接受的時間、地點、方式、教材或實作安排為何？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評量證據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如何觀察到學習或工作應用？可取得哪些真實紀錄？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限制與風險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有哪些安全、資源、個資或非醫療表述界線？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確認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以上摘要是否符合您的意思？尚有遺漏或需更正之處嗎？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待填；記錄確認方式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三、單次訪談紀錄與編碼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768"/>
      </w:tblGrid>
      <w:tr>
        <w:trPr>
          <w:tblHeader w:val="true"/>
          <w:cantSplit/>
        </w:trPr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欄位</w:t>
            </w:r>
          </w:p>
        </w:tc>
        <w:tc>
          <w:tcPr>
            <w:tcW w:type="dxa" w:w="67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紀錄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訪談編號／日期／管道</w:t>
            </w:r>
          </w:p>
        </w:tc>
        <w:tc>
          <w:tcPr>
            <w:tcW w:type="dxa" w:w="67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受訪者角色代碼／需求單位類型</w:t>
            </w:r>
          </w:p>
        </w:tc>
        <w:tc>
          <w:tcPr>
            <w:tcW w:type="dxa" w:w="67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待填；姓名與聯絡資料另按權限保管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題目編號與逐題摘要</w:t>
            </w:r>
          </w:p>
        </w:tc>
        <w:tc>
          <w:tcPr>
            <w:tcW w:type="dxa" w:w="67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待填；區分原話、摘要及訪談者詮釋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確認或修正紀錄</w:t>
            </w:r>
          </w:p>
        </w:tc>
        <w:tc>
          <w:tcPr>
            <w:tcW w:type="dxa" w:w="67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附件／錄音或逐字稿索引</w:t>
            </w:r>
          </w:p>
        </w:tc>
        <w:tc>
          <w:tcPr>
            <w:tcW w:type="dxa" w:w="67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待填；涉及個資須受控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四、統計分析工作表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6120"/>
        <w:gridCol w:w="1872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統計欄位</w:t>
            </w:r>
          </w:p>
        </w:tc>
        <w:tc>
          <w:tcPr>
            <w:tcW w:type="dxa" w:w="61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公式／口徑</w:t>
            </w:r>
          </w:p>
        </w:tc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結果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預定訪談數／完成訪談數</w:t>
            </w:r>
          </w:p>
        </w:tc>
        <w:tc>
          <w:tcPr>
            <w:tcW w:type="dxa" w:w="61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依核定的調查計畫界定</w:t>
            </w:r>
          </w:p>
        </w:tc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待原始紀錄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有效資料數</w:t>
            </w:r>
          </w:p>
        </w:tc>
        <w:tc>
          <w:tcPr>
            <w:tcW w:type="dxa" w:w="61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依事前訂定的完整性規則判定</w:t>
            </w:r>
          </w:p>
        </w:tc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待原始紀錄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有效回收率</w:t>
            </w:r>
          </w:p>
        </w:tc>
        <w:tc>
          <w:tcPr>
            <w:tcW w:type="dxa" w:w="61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有效份數 ÷ 回收份數；回收渠道與分母一致</w:t>
            </w:r>
          </w:p>
        </w:tc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待原始紀錄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需求構面平均分</w:t>
            </w:r>
          </w:p>
        </w:tc>
        <w:tc>
          <w:tcPr>
            <w:tcW w:type="dxa" w:w="61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有效作答分數總和 ÷ 有效作答數；僅適用於已設定量尺的題目</w:t>
            </w:r>
          </w:p>
        </w:tc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待原始紀錄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高需求比例</w:t>
            </w:r>
          </w:p>
        </w:tc>
        <w:tc>
          <w:tcPr>
            <w:tcW w:type="dxa" w:w="61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評為 4 或 5 分的人數 ÷ 該題有效作答數</w:t>
            </w:r>
          </w:p>
        </w:tc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待原始紀錄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五、分群、優先度與課程決策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944"/>
        <w:gridCol w:w="2592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需求主題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來源／群組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重要度／迫切性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能力差距</w:t>
            </w:r>
          </w:p>
        </w:tc>
        <w:tc>
          <w:tcPr>
            <w:tcW w:type="dxa" w:w="259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課程回應／待驗證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59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59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59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只有完成真實訪談、核對母體與缺失資料後才能填寫結果。不得用本表公式代替樣本、訪談或統計原件。</w:t>
      </w: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本文件專屬追溯檢核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968"/>
        <w:gridCol w:w="2808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檢核點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欄位／方法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目前狀態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需求單位訪談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對象與抽樣設定、訪談題綱、逐案紀錄、確認及附件索引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待真實訪談原件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統計與分析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有效數、缺失處理、公式、分群、需求優先度與課程決策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待原始資料及覆核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審查與核定紀錄（待填）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376"/>
        <w:gridCol w:w="3528"/>
        <w:gridCol w:w="266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角色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姓名／職務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意見或決定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日期／簽章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擬稿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覆核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核定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依據、使用界線與真實資料升格檢核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官方查核依據：TTQS 人才發展品質管理系統《查核佐證文件資料表－訓練機構版》第 3 頁。以下欄位與流程是供本會審議使用的工作設計，不構成本會已採行、已核定或已執行的證明。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1123"/>
        <w:gridCol w:w="1512"/>
        <w:gridCol w:w="1512"/>
        <w:gridCol w:w="1656"/>
        <w:gridCol w:w="1541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查核要求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來源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本稿欄位／指標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目前結果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覆核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針對需求單位進行訪談並留有紀錄與統計分析。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官方查核佐證表第 3 頁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依本文件專屬追溯欄位及表單逐項核對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待取得協會原始紀錄；本稿僅提供可填寫工具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待填真實檔案名稱／位置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待填覆核者及日期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由工作稿升格為真實佐證前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以本會實際原始紀錄替換所有空白欄位；不可用推測或歷史其他機構資料補填。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核對人名、職務、日期、課程或採購內容及證據檔案；未發生的事項不得填為已發生。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完成必要審查及核定後，填入核定版本、日期、簽核與保存位置；草稿簽名欄保持空白。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健康教育及傳統整復推拿內容限於教育訓練及非醫療表述，不宣稱診斷、治療或療效。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未核定；待實際資料及簽核後更新｜第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Microsoft JhengHei" w:hAnsi="Microsoft JhengHei" w:eastAsia="Microsoft JhengHei"/>
      <w:color w:val="24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需求單位訪談紀錄與統計分析工具</dc:title>
  <dc:subject>針對需求單位進行訪談並留有紀錄與統計分析。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