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R01</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快速閱讀</w:t>
            </w:r>
          </w:p>
        </w:tc>
        <w:tc>
          <w:tcPr>
            <w:tcW w:type="dxa" w:w="8453"/>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文件編號</w:t>
            </w:r>
          </w:p>
        </w:tc>
        <w:tc>
          <w:tcPr>
            <w:tcW w:type="dxa" w:w="2016"/>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版次</w:t>
            </w:r>
          </w:p>
        </w:tc>
        <w:tc>
          <w:tcPr>
            <w:tcW w:type="dxa" w:w="244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狀態</w:t>
            </w:r>
          </w:p>
        </w:tc>
        <w:tc>
          <w:tcPr>
            <w:tcW w:type="dxa" w:w="3816"/>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待編</w:t>
            </w:r>
          </w:p>
        </w:tc>
        <w:tc>
          <w:tcPr>
            <w:tcW w:type="dxa" w:w="20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草案 R01</w:t>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課程識別欄位</w:t>
            </w:r>
          </w:p>
        </w:tc>
        <w:tc>
          <w:tcPr>
            <w:tcW w:type="dxa" w:w="712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單元／時數</w:t>
            </w:r>
          </w:p>
        </w:tc>
        <w:tc>
          <w:tcPr>
            <w:tcW w:type="dxa" w:w="1440"/>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對應目標</w:t>
            </w:r>
          </w:p>
        </w:tc>
        <w:tc>
          <w:tcPr>
            <w:tcW w:type="dxa" w:w="1800"/>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可觀察學習產出</w:t>
            </w:r>
          </w:p>
        </w:tc>
        <w:tc>
          <w:tcPr>
            <w:tcW w:type="dxa" w:w="208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內容／活動／教材</w:t>
            </w:r>
          </w:p>
        </w:tc>
        <w:tc>
          <w:tcPr>
            <w:tcW w:type="dxa" w:w="208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評量方法與標準</w:t>
            </w:r>
          </w:p>
        </w:tc>
        <w:tc>
          <w:tcPr>
            <w:tcW w:type="dxa" w:w="136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檢核點</w:t>
            </w:r>
          </w:p>
        </w:tc>
        <w:tc>
          <w:tcPr>
            <w:tcW w:type="dxa" w:w="5760"/>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判斷問題</w:t>
            </w:r>
          </w:p>
        </w:tc>
        <w:tc>
          <w:tcPr>
            <w:tcW w:type="dxa" w:w="2736"/>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四、問題處理與審查</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單元／問題</w:t>
            </w:r>
          </w:p>
        </w:tc>
        <w:tc>
          <w:tcPr>
            <w:tcW w:type="dxa" w:w="1944"/>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差距及來源</w:t>
            </w:r>
          </w:p>
        </w:tc>
        <w:tc>
          <w:tcPr>
            <w:tcW w:type="dxa" w:w="208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修訂內容／版本</w:t>
            </w:r>
          </w:p>
        </w:tc>
        <w:tc>
          <w:tcPr>
            <w:tcW w:type="dxa" w:w="2664"/>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審查意見與理由</w:t>
            </w:r>
          </w:p>
        </w:tc>
        <w:tc>
          <w:tcPr>
            <w:tcW w:type="dxa" w:w="1872"/>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3"/>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6"/>
        </w:rPr>
        <w:t>達標判定須以核定目標、教學與評量設計，以及真實執行和評量資料相互核對。規劃階段只能判定「設計對應已完成／待補」，不能宣稱學員已達成。</w:t>
      </w:r>
    </w:p>
    <w:p>
      <w:pPr>
        <w:pStyle w:val="Heading2"/>
        <w:keepNext/>
        <w:keepLines/>
        <w:spacing w:before="80" w:after="48"/>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檢核點</w:t>
            </w:r>
          </w:p>
        </w:tc>
        <w:tc>
          <w:tcPr>
            <w:tcW w:type="dxa" w:w="496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欄位／方法</w:t>
            </w:r>
          </w:p>
        </w:tc>
        <w:tc>
          <w:tcPr>
            <w:tcW w:type="dxa" w:w="280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角色</w:t>
            </w:r>
          </w:p>
        </w:tc>
        <w:tc>
          <w:tcPr>
            <w:tcW w:type="dxa" w:w="2376"/>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姓名／職務</w:t>
            </w:r>
          </w:p>
        </w:tc>
        <w:tc>
          <w:tcPr>
            <w:tcW w:type="dxa" w:w="3528"/>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意見或決定</w:t>
            </w:r>
          </w:p>
        </w:tc>
        <w:tc>
          <w:tcPr>
            <w:tcW w:type="dxa" w:w="2664"/>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5"/>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5"/>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查核要求</w:t>
            </w:r>
          </w:p>
        </w:tc>
        <w:tc>
          <w:tcPr>
            <w:tcW w:type="dxa" w:w="1123"/>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來源</w:t>
            </w:r>
          </w:p>
        </w:tc>
        <w:tc>
          <w:tcPr>
            <w:tcW w:type="dxa" w:w="1512"/>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本稿欄位／指標</w:t>
            </w:r>
          </w:p>
        </w:tc>
        <w:tc>
          <w:tcPr>
            <w:tcW w:type="dxa" w:w="1512"/>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目前結果</w:t>
            </w:r>
          </w:p>
        </w:tc>
        <w:tc>
          <w:tcPr>
            <w:tcW w:type="dxa" w:w="1656"/>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證據位置</w:t>
            </w:r>
          </w:p>
        </w:tc>
        <w:tc>
          <w:tcPr>
            <w:tcW w:type="dxa" w:w="1541"/>
            <w:vAlign w:val="center"/>
            <w:tcMar>
              <w:top w:w="58" w:type="dxa"/>
              <w:start w:w="78" w:type="dxa"/>
              <w:bottom w:w="58" w:type="dxa"/>
              <w:end w:w="78" w:type="dxa"/>
            </w:tcMar>
            <w:shd w:fill="183B63"/>
          </w:tcPr>
          <w:p>
            <w:pPr>
              <w:keepLines/>
              <w:spacing w:before="0" w:after="0" w:line="245" w:lineRule="auto"/>
            </w:pPr>
            <w:r/>
            <w:r>
              <w:rPr>
                <w:rFonts w:ascii="Microsoft JhengHei" w:hAnsi="Microsoft JhengHei" w:eastAsia="Microsoft JhengHei"/>
                <w:b/>
                <w:color w:val="FFFFFF"/>
                <w:sz w:val="14"/>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4"/>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pStyle w:val="ListBullet"/>
        <w:keepLines/>
        <w:spacing w:before="0" w:after="30" w:line="247" w:lineRule="auto"/>
        <w:ind w:left="317" w:hanging="173"/>
      </w:pPr>
      <w:r>
        <w:rPr>
          <w:rFonts w:ascii="Microsoft JhengHei" w:hAnsi="Microsoft JhengHei" w:eastAsia="Microsoft JhengHei"/>
          <w:b w:val="0"/>
          <w:color w:val="24364B"/>
          <w:sz w:val="18"/>
        </w:rPr>
        <w:t>以本會實際原始紀錄替換所有空白欄位；不可用推測或歷史其他機構資料補填。</w:t>
      </w:r>
    </w:p>
    <w:p>
      <w:pPr>
        <w:pStyle w:val="ListBullet"/>
        <w:keepLines/>
        <w:spacing w:before="0" w:after="30" w:line="247" w:lineRule="auto"/>
        <w:ind w:left="317" w:hanging="173"/>
      </w:pPr>
      <w:r>
        <w:rPr>
          <w:rFonts w:ascii="Microsoft JhengHei" w:hAnsi="Microsoft JhengHei" w:eastAsia="Microsoft JhengHei"/>
          <w:b w:val="0"/>
          <w:color w:val="24364B"/>
          <w:sz w:val="18"/>
        </w:rPr>
        <w:t>核對人名、職務、日期、課程或採購內容及證據檔案；未發生的事項不得填為已發生。</w:t>
      </w:r>
    </w:p>
    <w:p>
      <w:pPr>
        <w:pStyle w:val="ListBullet"/>
        <w:keepLines/>
        <w:spacing w:before="0" w:after="30" w:line="247" w:lineRule="auto"/>
        <w:ind w:left="317" w:hanging="173"/>
      </w:pPr>
      <w:r>
        <w:rPr>
          <w:rFonts w:ascii="Microsoft JhengHei" w:hAnsi="Microsoft JhengHei" w:eastAsia="Microsoft JhengHei"/>
          <w:b w:val="0"/>
          <w:color w:val="24364B"/>
          <w:sz w:val="18"/>
        </w:rPr>
        <w:t>完成必要審查及核定後，填入核定版本、日期、簽核與保存位置；草稿簽名欄保持空白。</w:t>
      </w:r>
    </w:p>
    <w:p>
      <w:pPr>
        <w:pStyle w:val="ListBullet"/>
        <w:keepLines/>
        <w:spacing w:before="0" w:after="30" w:line="247" w:lineRule="auto"/>
        <w:ind w:left="317" w:hanging="173"/>
      </w:pPr>
      <w:r>
        <w:rPr>
          <w:rFonts w:ascii="Microsoft JhengHei" w:hAnsi="Microsoft JhengHei" w:eastAsia="Microsoft JhengHei"/>
          <w:b w:val="0"/>
          <w:color w:val="24364B"/>
          <w:sz w:val="18"/>
        </w:rPr>
        <w:t>健康教育及傳統整復推拿內容限於教育訓練及非醫療表述，不宣稱診斷、治療或療效。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