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spacing w:after="30"/>
      </w:pPr>
      <w:r>
        <w:rPr>
          <w:rFonts w:ascii="Microsoft JhengHei" w:hAnsi="Microsoft JhengHei" w:eastAsia="Microsoft JhengHei"/>
          <w:b/>
          <w:color w:val="183B63"/>
          <w:sz w:val="37"/>
        </w:rPr>
        <w:t>大型採購與師資遴聘會議審查紀錄表</w:t>
      </w:r>
    </w:p>
    <w:p>
      <w:pPr>
        <w:keepNext/>
        <w:spacing w:after="60"/>
      </w:pPr>
      <w:r>
        <w:rPr>
          <w:rFonts w:ascii="Microsoft JhengHei" w:hAnsi="Microsoft JhengHei" w:eastAsia="Microsoft JhengHei"/>
          <w:b w:val="0"/>
          <w:color w:val="245A81"/>
          <w:sz w:val="18"/>
        </w:rPr>
        <w:t>I10-E03｜指標 10｜文件 0048｜草案 R02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09"/>
      </w:tblGrid>
      <w:tr>
        <w:trPr>
          <w:cantSplit/>
        </w:trPr>
        <w:tc>
          <w:tcPr>
            <w:tcW w:type="dxa" w:w="10009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FFF2CC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工作稿｜尚待填入真實原始資料及完成本會審議核定；不表示課程已核定、會議已召開、採購已發生、訪談已執行或已取得成果。</w:t>
            </w:r>
          </w:p>
        </w:tc>
      </w:tr>
    </w:tbl>
    <w:p>
      <w:pPr>
        <w:spacing w:after="6" w:line="156" w:lineRule="auto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55"/>
        <w:gridCol w:w="8453"/>
      </w:tblGrid>
      <w:tr>
        <w:trPr>
          <w:tblHeader w:val="true"/>
          <w:cantSplit/>
        </w:trPr>
        <w:tc>
          <w:tcPr>
            <w:tcW w:type="dxa" w:w="1555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快速閱讀</w:t>
            </w:r>
          </w:p>
        </w:tc>
        <w:tc>
          <w:tcPr>
            <w:tcW w:type="dxa" w:w="8453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內容</w:t>
            </w:r>
          </w:p>
        </w:tc>
      </w:tr>
      <w:tr>
        <w:trPr>
          <w:cantSplit/>
        </w:trPr>
        <w:tc>
          <w:tcPr>
            <w:tcW w:type="dxa" w:w="1555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文件用途</w:t>
            </w:r>
          </w:p>
        </w:tc>
        <w:tc>
          <w:tcPr>
            <w:tcW w:type="dxa" w:w="8453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供大型採購及師資遴聘會議／審查記錄比較依據、迴避、意見、決議與簽核。</w:t>
            </w:r>
          </w:p>
        </w:tc>
      </w:tr>
      <w:tr>
        <w:trPr>
          <w:cantSplit/>
        </w:trPr>
        <w:tc>
          <w:tcPr>
            <w:tcW w:type="dxa" w:w="1555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評核焦點</w:t>
            </w:r>
          </w:p>
        </w:tc>
        <w:tc>
          <w:tcPr>
            <w:tcW w:type="dxa" w:w="8453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先看大型採購門檻來源、候選資料、審查意見、決議及核定。</w:t>
            </w:r>
          </w:p>
        </w:tc>
      </w:tr>
      <w:tr>
        <w:trPr>
          <w:cantSplit/>
        </w:trPr>
        <w:tc>
          <w:tcPr>
            <w:tcW w:type="dxa" w:w="1555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已知範圍</w:t>
            </w:r>
          </w:p>
        </w:tc>
        <w:tc>
          <w:tcPr>
            <w:tcW w:type="dxa" w:w="8453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社團法人屏東縣原始點關懷協會；協會方向依使用者指定：以健康教育及傳統整復推拿技術為核心，並保留依實際市場需求發展多元課程的空間。</w:t>
            </w:r>
          </w:p>
        </w:tc>
      </w:tr>
      <w:tr>
        <w:trPr>
          <w:cantSplit/>
        </w:trPr>
        <w:tc>
          <w:tcPr>
            <w:tcW w:type="dxa" w:w="1555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正式使用前</w:t>
            </w:r>
          </w:p>
        </w:tc>
        <w:tc>
          <w:tcPr>
            <w:tcW w:type="dxa" w:w="8453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本會核定門檻、真實候選與報價、出席及利益揭露、會議決議與核准原件。</w:t>
            </w:r>
          </w:p>
        </w:tc>
      </w:tr>
    </w:tbl>
    <w:p>
      <w:pPr>
        <w:spacing w:before="0" w:after="20" w:line="156" w:lineRule="auto"/>
      </w:pPr>
    </w:p>
    <w:p>
      <w:pPr>
        <w:pStyle w:val="Heading2"/>
        <w:keepNext/>
        <w:keepLines/>
        <w:spacing w:before="80" w:after="48"/>
      </w:pPr>
      <w:r>
        <w:rPr>
          <w:rFonts w:ascii="Microsoft JhengHei" w:hAnsi="Microsoft JhengHei" w:eastAsia="Microsoft JhengHei"/>
          <w:b/>
          <w:color w:val="245A81"/>
          <w:sz w:val="21"/>
        </w:rPr>
        <w:t>文件管制欄位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2016"/>
        <w:gridCol w:w="2448"/>
        <w:gridCol w:w="3816"/>
      </w:tblGrid>
      <w:tr>
        <w:trPr>
          <w:tblHeader w:val="true"/>
          <w:cantSplit/>
        </w:trPr>
        <w:tc>
          <w:tcPr>
            <w:tcW w:type="dxa" w:w="17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文件編號</w:t>
            </w:r>
          </w:p>
        </w:tc>
        <w:tc>
          <w:tcPr>
            <w:tcW w:type="dxa" w:w="201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版次</w:t>
            </w:r>
          </w:p>
        </w:tc>
        <w:tc>
          <w:tcPr>
            <w:tcW w:type="dxa" w:w="244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狀態</w:t>
            </w:r>
          </w:p>
        </w:tc>
        <w:tc>
          <w:tcPr>
            <w:tcW w:type="dxa" w:w="381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核定／生效日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待編</w:t>
            </w:r>
          </w:p>
        </w:tc>
        <w:tc>
          <w:tcPr>
            <w:tcW w:type="dxa" w:w="201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草案 R02</w:t>
            </w:r>
          </w:p>
        </w:tc>
        <w:tc>
          <w:tcPr>
            <w:tcW w:type="dxa" w:w="244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未核定</w:t>
            </w:r>
          </w:p>
        </w:tc>
        <w:tc>
          <w:tcPr>
            <w:tcW w:type="dxa" w:w="381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待核定</w:t>
            </w:r>
          </w:p>
        </w:tc>
      </w:tr>
    </w:tbl>
    <w:p>
      <w:pPr>
        <w:spacing w:before="0" w:after="20" w:line="156" w:lineRule="auto"/>
      </w:pPr>
    </w:p>
    <w:p>
      <w:pPr>
        <w:pStyle w:val="Heading1"/>
        <w:keepNext/>
        <w:keepLines/>
        <w:spacing w:before="140" w:after="48"/>
      </w:pPr>
      <w:r>
        <w:rPr>
          <w:rFonts w:ascii="Microsoft JhengHei" w:hAnsi="Microsoft JhengHei" w:eastAsia="Microsoft JhengHei"/>
          <w:b/>
          <w:color w:val="183B63"/>
          <w:sz w:val="25"/>
        </w:rPr>
        <w:t>一、使用原則</w:t>
      </w:r>
    </w:p>
    <w:p>
      <w:pPr>
        <w:keepLines/>
        <w:spacing w:before="0" w:after="60" w:line="254" w:lineRule="auto"/>
      </w:pPr>
      <w:r>
        <w:rPr>
          <w:rFonts w:ascii="Microsoft JhengHei" w:hAnsi="Microsoft JhengHei" w:eastAsia="Microsoft JhengHei"/>
          <w:b w:val="0"/>
          <w:color w:val="24364B"/>
          <w:sz w:val="18"/>
        </w:rPr>
        <w:t>本表供大型採購審查及師資遴聘審查使用，記錄會議如何核對事前標準、原始資料、利益衝突、討論及核定。此空白範本不是實際會議紀錄。大型採購門檻、會議權限及法定出席條件須依本會核定規定填列。</w:t>
      </w:r>
    </w:p>
    <w:p>
      <w:pPr>
        <w:pStyle w:val="Heading1"/>
        <w:keepNext/>
        <w:keepLines/>
        <w:spacing w:before="140" w:after="48"/>
      </w:pPr>
      <w:r>
        <w:rPr>
          <w:rFonts w:ascii="Microsoft JhengHei" w:hAnsi="Microsoft JhengHei" w:eastAsia="Microsoft JhengHei"/>
          <w:b/>
          <w:color w:val="183B63"/>
          <w:sz w:val="25"/>
        </w:rPr>
        <w:t>二、會議基本資料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00"/>
        <w:gridCol w:w="6408"/>
      </w:tblGrid>
      <w:tr>
        <w:trPr>
          <w:tblHeader w:val="true"/>
          <w:cantSplit/>
        </w:trPr>
        <w:tc>
          <w:tcPr>
            <w:tcW w:type="dxa" w:w="360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欄位</w:t>
            </w:r>
          </w:p>
        </w:tc>
        <w:tc>
          <w:tcPr>
            <w:tcW w:type="dxa" w:w="640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填寫內容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會議名稱／紀錄編號</w:t>
            </w:r>
          </w:p>
        </w:tc>
        <w:tc>
          <w:tcPr>
            <w:tcW w:type="dxa" w:w="640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審查案件／課程／版本</w:t>
            </w:r>
          </w:p>
        </w:tc>
        <w:tc>
          <w:tcPr>
            <w:tcW w:type="dxa" w:w="640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資源類型／大型採購判定依據</w:t>
            </w:r>
          </w:p>
        </w:tc>
        <w:tc>
          <w:tcPr>
            <w:tcW w:type="dxa" w:w="640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待填；附門檻規則及核准文件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日期、地點／方式</w:t>
            </w:r>
          </w:p>
        </w:tc>
        <w:tc>
          <w:tcPr>
            <w:tcW w:type="dxa" w:w="640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主席、紀錄及召集依據</w:t>
            </w:r>
          </w:p>
        </w:tc>
        <w:tc>
          <w:tcPr>
            <w:tcW w:type="dxa" w:w="640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應出席、實際出席、請假及列席</w:t>
            </w:r>
          </w:p>
        </w:tc>
        <w:tc>
          <w:tcPr>
            <w:tcW w:type="dxa" w:w="640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待填；附簽到或可核驗出席資料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會議資料版本及送達日期</w:t>
            </w:r>
          </w:p>
        </w:tc>
        <w:tc>
          <w:tcPr>
            <w:tcW w:type="dxa" w:w="640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</w:tr>
    </w:tbl>
    <w:p>
      <w:pPr>
        <w:spacing w:before="0" w:after="20" w:line="156" w:lineRule="auto"/>
      </w:pPr>
    </w:p>
    <w:p>
      <w:pPr>
        <w:pStyle w:val="Heading1"/>
        <w:keepNext/>
        <w:keepLines/>
        <w:spacing w:before="140" w:after="48"/>
      </w:pPr>
      <w:r>
        <w:rPr>
          <w:rFonts w:ascii="Microsoft JhengHei" w:hAnsi="Microsoft JhengHei" w:eastAsia="Microsoft JhengHei"/>
          <w:b/>
          <w:color w:val="183B63"/>
          <w:sz w:val="25"/>
        </w:rPr>
        <w:t>三、出席與利益衝突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1368"/>
        <w:gridCol w:w="2232"/>
        <w:gridCol w:w="2376"/>
        <w:gridCol w:w="2376"/>
      </w:tblGrid>
      <w:tr>
        <w:trPr>
          <w:tblHeader w:val="true"/>
          <w:cantSplit/>
        </w:trPr>
        <w:tc>
          <w:tcPr>
            <w:tcW w:type="dxa" w:w="165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角色／姓名</w:t>
            </w:r>
          </w:p>
        </w:tc>
        <w:tc>
          <w:tcPr>
            <w:tcW w:type="dxa" w:w="136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出席狀態</w:t>
            </w:r>
          </w:p>
        </w:tc>
        <w:tc>
          <w:tcPr>
            <w:tcW w:type="dxa" w:w="223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審查責任</w:t>
            </w:r>
          </w:p>
        </w:tc>
        <w:tc>
          <w:tcPr>
            <w:tcW w:type="dxa" w:w="237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關係揭露</w:t>
            </w:r>
          </w:p>
        </w:tc>
        <w:tc>
          <w:tcPr>
            <w:tcW w:type="dxa" w:w="237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迴避／覆核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  <w:tc>
          <w:tcPr>
            <w:tcW w:type="dxa" w:w="136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  <w:tc>
          <w:tcPr>
            <w:tcW w:type="dxa" w:w="223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  <w:tc>
          <w:tcPr>
            <w:tcW w:type="dxa" w:w="237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  <w:tc>
          <w:tcPr>
            <w:tcW w:type="dxa" w:w="237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  <w:tc>
          <w:tcPr>
            <w:tcW w:type="dxa" w:w="136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  <w:tc>
          <w:tcPr>
            <w:tcW w:type="dxa" w:w="223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  <w:tc>
          <w:tcPr>
            <w:tcW w:type="dxa" w:w="237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  <w:tc>
          <w:tcPr>
            <w:tcW w:type="dxa" w:w="237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  <w:tc>
          <w:tcPr>
            <w:tcW w:type="dxa" w:w="136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  <w:tc>
          <w:tcPr>
            <w:tcW w:type="dxa" w:w="223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  <w:tc>
          <w:tcPr>
            <w:tcW w:type="dxa" w:w="237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  <w:tc>
          <w:tcPr>
            <w:tcW w:type="dxa" w:w="237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  <w:tc>
          <w:tcPr>
            <w:tcW w:type="dxa" w:w="136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  <w:tc>
          <w:tcPr>
            <w:tcW w:type="dxa" w:w="223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  <w:tc>
          <w:tcPr>
            <w:tcW w:type="dxa" w:w="237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  <w:tc>
          <w:tcPr>
            <w:tcW w:type="dxa" w:w="237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</w:tr>
    </w:tbl>
    <w:p>
      <w:pPr>
        <w:spacing w:before="0" w:after="20" w:line="156" w:lineRule="auto"/>
      </w:pPr>
    </w:p>
    <w:p>
      <w:pPr>
        <w:pStyle w:val="Heading1"/>
        <w:keepNext/>
        <w:keepLines/>
        <w:spacing w:before="140" w:after="48"/>
      </w:pPr>
      <w:r>
        <w:rPr>
          <w:rFonts w:ascii="Microsoft JhengHei" w:hAnsi="Microsoft JhengHei" w:eastAsia="Microsoft JhengHei"/>
          <w:b/>
          <w:color w:val="183B63"/>
          <w:sz w:val="25"/>
        </w:rPr>
        <w:t>四、案件審查與決議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2880"/>
        <w:gridCol w:w="2448"/>
        <w:gridCol w:w="2448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審查項目</w:t>
            </w:r>
          </w:p>
        </w:tc>
        <w:tc>
          <w:tcPr>
            <w:tcW w:type="dxa" w:w="288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候選／文件及證據</w:t>
            </w:r>
          </w:p>
        </w:tc>
        <w:tc>
          <w:tcPr>
            <w:tcW w:type="dxa" w:w="244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委員意見／異議</w:t>
            </w:r>
          </w:p>
        </w:tc>
        <w:tc>
          <w:tcPr>
            <w:tcW w:type="dxa" w:w="244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核對結論／理由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需求與規格</w:t>
            </w:r>
          </w:p>
        </w:tc>
        <w:tc>
          <w:tcPr>
            <w:tcW w:type="dxa" w:w="288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  <w:tc>
          <w:tcPr>
            <w:tcW w:type="dxa" w:w="244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  <w:tc>
          <w:tcPr>
            <w:tcW w:type="dxa" w:w="244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必要資格與風險</w:t>
            </w:r>
          </w:p>
        </w:tc>
        <w:tc>
          <w:tcPr>
            <w:tcW w:type="dxa" w:w="288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  <w:tc>
          <w:tcPr>
            <w:tcW w:type="dxa" w:w="244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  <w:tc>
          <w:tcPr>
            <w:tcW w:type="dxa" w:w="244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事前評選標準、權重及比較</w:t>
            </w:r>
          </w:p>
        </w:tc>
        <w:tc>
          <w:tcPr>
            <w:tcW w:type="dxa" w:w="288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  <w:tc>
          <w:tcPr>
            <w:tcW w:type="dxa" w:w="244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  <w:tc>
          <w:tcPr>
            <w:tcW w:type="dxa" w:w="244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價格、預算及權限</w:t>
            </w:r>
          </w:p>
        </w:tc>
        <w:tc>
          <w:tcPr>
            <w:tcW w:type="dxa" w:w="288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  <w:tc>
          <w:tcPr>
            <w:tcW w:type="dxa" w:w="244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  <w:tc>
          <w:tcPr>
            <w:tcW w:type="dxa" w:w="244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利益衝突及迴避</w:t>
            </w:r>
          </w:p>
        </w:tc>
        <w:tc>
          <w:tcPr>
            <w:tcW w:type="dxa" w:w="288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  <w:tc>
          <w:tcPr>
            <w:tcW w:type="dxa" w:w="244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  <w:tc>
          <w:tcPr>
            <w:tcW w:type="dxa" w:w="244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契約、交付及驗收安排</w:t>
            </w:r>
          </w:p>
        </w:tc>
        <w:tc>
          <w:tcPr>
            <w:tcW w:type="dxa" w:w="288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  <w:tc>
          <w:tcPr>
            <w:tcW w:type="dxa" w:w="244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  <w:tc>
          <w:tcPr>
            <w:tcW w:type="dxa" w:w="244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</w:tr>
    </w:tbl>
    <w:p>
      <w:pPr>
        <w:spacing w:before="0" w:after="20" w:line="156" w:lineRule="auto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3384"/>
        <w:gridCol w:w="2160"/>
        <w:gridCol w:w="2520"/>
      </w:tblGrid>
      <w:tr>
        <w:trPr>
          <w:tblHeader w:val="true"/>
          <w:cantSplit/>
        </w:trPr>
        <w:tc>
          <w:tcPr>
            <w:tcW w:type="dxa" w:w="194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決議事項</w:t>
            </w:r>
          </w:p>
        </w:tc>
        <w:tc>
          <w:tcPr>
            <w:tcW w:type="dxa" w:w="338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結果／條件及理由</w:t>
            </w:r>
          </w:p>
        </w:tc>
        <w:tc>
          <w:tcPr>
            <w:tcW w:type="dxa" w:w="216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責任角色／期限</w:t>
            </w:r>
          </w:p>
        </w:tc>
        <w:tc>
          <w:tcPr>
            <w:tcW w:type="dxa" w:w="252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後續驗證／證據ID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採購／聘任建議</w:t>
            </w:r>
          </w:p>
        </w:tc>
        <w:tc>
          <w:tcPr>
            <w:tcW w:type="dxa" w:w="338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待填；不得預填「通過」</w:t>
            </w:r>
          </w:p>
        </w:tc>
        <w:tc>
          <w:tcPr>
            <w:tcW w:type="dxa" w:w="216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  <w:tc>
          <w:tcPr>
            <w:tcW w:type="dxa" w:w="252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補件、修正或迴避</w:t>
            </w:r>
          </w:p>
        </w:tc>
        <w:tc>
          <w:tcPr>
            <w:tcW w:type="dxa" w:w="338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  <w:tc>
          <w:tcPr>
            <w:tcW w:type="dxa" w:w="216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  <w:tc>
          <w:tcPr>
            <w:tcW w:type="dxa" w:w="252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契約／驗收條件</w:t>
            </w:r>
          </w:p>
        </w:tc>
        <w:tc>
          <w:tcPr>
            <w:tcW w:type="dxa" w:w="338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  <w:tc>
          <w:tcPr>
            <w:tcW w:type="dxa" w:w="216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  <w:tc>
          <w:tcPr>
            <w:tcW w:type="dxa" w:w="252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</w:tr>
    </w:tbl>
    <w:p>
      <w:pPr>
        <w:spacing w:before="0" w:after="20" w:line="156" w:lineRule="auto"/>
      </w:pPr>
    </w:p>
    <w:p>
      <w:pPr>
        <w:pStyle w:val="Heading1"/>
        <w:keepNext/>
        <w:keepLines/>
        <w:spacing w:before="140" w:after="48"/>
      </w:pPr>
      <w:r>
        <w:rPr>
          <w:rFonts w:ascii="Microsoft JhengHei" w:hAnsi="Microsoft JhengHei" w:eastAsia="Microsoft JhengHei"/>
          <w:b/>
          <w:color w:val="183B63"/>
          <w:sz w:val="25"/>
        </w:rPr>
        <w:t>五、附件、簽核與歸檔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68"/>
        <w:gridCol w:w="1800"/>
        <w:gridCol w:w="2520"/>
        <w:gridCol w:w="2520"/>
      </w:tblGrid>
      <w:tr>
        <w:trPr>
          <w:tblHeader w:val="true"/>
          <w:cantSplit/>
        </w:trPr>
        <w:tc>
          <w:tcPr>
            <w:tcW w:type="dxa" w:w="316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附件／原始證據</w:t>
            </w:r>
          </w:p>
        </w:tc>
        <w:tc>
          <w:tcPr>
            <w:tcW w:type="dxa" w:w="180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版本／日期</w:t>
            </w:r>
          </w:p>
        </w:tc>
        <w:tc>
          <w:tcPr>
            <w:tcW w:type="dxa" w:w="252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保管位置</w:t>
            </w:r>
          </w:p>
        </w:tc>
        <w:tc>
          <w:tcPr>
            <w:tcW w:type="dxa" w:w="252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與決議關聯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候選文件、評分表、報價或資格原件</w:t>
            </w:r>
          </w:p>
        </w:tc>
        <w:tc>
          <w:tcPr>
            <w:tcW w:type="dxa" w:w="180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  <w:tc>
          <w:tcPr>
            <w:tcW w:type="dxa" w:w="252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  <w:tc>
          <w:tcPr>
            <w:tcW w:type="dxa" w:w="252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議程、通知、出席及利益揭露</w:t>
            </w:r>
          </w:p>
        </w:tc>
        <w:tc>
          <w:tcPr>
            <w:tcW w:type="dxa" w:w="180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  <w:tc>
          <w:tcPr>
            <w:tcW w:type="dxa" w:w="252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  <w:tc>
          <w:tcPr>
            <w:tcW w:type="dxa" w:w="252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契約、訂單、核准或其他附件</w:t>
            </w:r>
          </w:p>
        </w:tc>
        <w:tc>
          <w:tcPr>
            <w:tcW w:type="dxa" w:w="180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  <w:tc>
          <w:tcPr>
            <w:tcW w:type="dxa" w:w="252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  <w:tc>
          <w:tcPr>
            <w:tcW w:type="dxa" w:w="252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</w:tr>
    </w:tbl>
    <w:p>
      <w:pPr>
        <w:spacing w:before="0" w:after="20" w:line="156" w:lineRule="auto"/>
      </w:pPr>
    </w:p>
    <w:p>
      <w:pPr>
        <w:pStyle w:val="Heading2"/>
        <w:keepNext/>
        <w:keepLines/>
        <w:spacing w:before="80" w:after="48"/>
      </w:pPr>
      <w:r>
        <w:rPr>
          <w:rFonts w:ascii="Microsoft JhengHei" w:hAnsi="Microsoft JhengHei" w:eastAsia="Microsoft JhengHei"/>
          <w:b/>
          <w:color w:val="245A81"/>
          <w:sz w:val="21"/>
        </w:rPr>
        <w:t>本文件專屬追溯檢核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4968"/>
        <w:gridCol w:w="2808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檢核點</w:t>
            </w:r>
          </w:p>
        </w:tc>
        <w:tc>
          <w:tcPr>
            <w:tcW w:type="dxa" w:w="496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欄位／方法</w:t>
            </w:r>
          </w:p>
        </w:tc>
        <w:tc>
          <w:tcPr>
            <w:tcW w:type="dxa" w:w="280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目前狀態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大型採購會議通過紀錄</w:t>
            </w:r>
          </w:p>
        </w:tc>
        <w:tc>
          <w:tcPr>
            <w:tcW w:type="dxa" w:w="496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門檻來源、需求、預算、候選比較、決議及核簽原件</w:t>
            </w:r>
          </w:p>
        </w:tc>
        <w:tc>
          <w:tcPr>
            <w:tcW w:type="dxa" w:w="280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空白紀錄範本；無實際會議證據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師資遴聘會議／審查紀錄</w:t>
            </w:r>
          </w:p>
        </w:tc>
        <w:tc>
          <w:tcPr>
            <w:tcW w:type="dxa" w:w="496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事前資格標準、原始資歷、評選意見、迴避與審查結論</w:t>
            </w:r>
          </w:p>
        </w:tc>
        <w:tc>
          <w:tcPr>
            <w:tcW w:type="dxa" w:w="280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空白紀錄範本；不得視為聘任證明</w:t>
            </w:r>
          </w:p>
        </w:tc>
      </w:tr>
    </w:tbl>
    <w:p>
      <w:pPr>
        <w:spacing w:before="0" w:after="20" w:line="156" w:lineRule="auto"/>
      </w:pPr>
    </w:p>
    <w:p>
      <w:pPr>
        <w:pStyle w:val="Heading2"/>
        <w:keepNext/>
        <w:keepLines/>
        <w:spacing w:before="80" w:after="48"/>
      </w:pPr>
      <w:r>
        <w:rPr>
          <w:rFonts w:ascii="Microsoft JhengHei" w:hAnsi="Microsoft JhengHei" w:eastAsia="Microsoft JhengHei"/>
          <w:b/>
          <w:color w:val="245A81"/>
          <w:sz w:val="21"/>
        </w:rPr>
        <w:t>審查與核定紀錄（待填）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2376"/>
        <w:gridCol w:w="3528"/>
        <w:gridCol w:w="2664"/>
      </w:tblGrid>
      <w:tr>
        <w:trPr>
          <w:tblHeader w:val="true"/>
          <w:cantSplit/>
        </w:trPr>
        <w:tc>
          <w:tcPr>
            <w:tcW w:type="dxa" w:w="144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角色</w:t>
            </w:r>
          </w:p>
        </w:tc>
        <w:tc>
          <w:tcPr>
            <w:tcW w:type="dxa" w:w="237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姓名／職務</w:t>
            </w:r>
          </w:p>
        </w:tc>
        <w:tc>
          <w:tcPr>
            <w:tcW w:type="dxa" w:w="35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意見或決定</w:t>
            </w:r>
          </w:p>
        </w:tc>
        <w:tc>
          <w:tcPr>
            <w:tcW w:type="dxa" w:w="266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日期／簽章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紀錄人</w:t>
            </w:r>
          </w:p>
        </w:tc>
        <w:tc>
          <w:tcPr>
            <w:tcW w:type="dxa" w:w="237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待填</w:t>
            </w:r>
          </w:p>
        </w:tc>
        <w:tc>
          <w:tcPr>
            <w:tcW w:type="dxa" w:w="35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待填</w:t>
            </w:r>
          </w:p>
        </w:tc>
        <w:tc>
          <w:tcPr>
            <w:tcW w:type="dxa" w:w="266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待填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主席／審查人</w:t>
            </w:r>
          </w:p>
        </w:tc>
        <w:tc>
          <w:tcPr>
            <w:tcW w:type="dxa" w:w="237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待填</w:t>
            </w:r>
          </w:p>
        </w:tc>
        <w:tc>
          <w:tcPr>
            <w:tcW w:type="dxa" w:w="35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待填</w:t>
            </w:r>
          </w:p>
        </w:tc>
        <w:tc>
          <w:tcPr>
            <w:tcW w:type="dxa" w:w="266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待填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權責主管</w:t>
            </w:r>
          </w:p>
        </w:tc>
        <w:tc>
          <w:tcPr>
            <w:tcW w:type="dxa" w:w="237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待填</w:t>
            </w:r>
          </w:p>
        </w:tc>
        <w:tc>
          <w:tcPr>
            <w:tcW w:type="dxa" w:w="35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待填</w:t>
            </w:r>
          </w:p>
        </w:tc>
        <w:tc>
          <w:tcPr>
            <w:tcW w:type="dxa" w:w="266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待填</w:t>
            </w:r>
          </w:p>
        </w:tc>
      </w:tr>
    </w:tbl>
    <w:p>
      <w:pPr>
        <w:spacing w:before="0" w:after="20" w:line="156" w:lineRule="auto"/>
      </w:pPr>
    </w:p>
    <w:p>
      <w:pPr>
        <w:pStyle w:val="Heading1"/>
        <w:keepNext/>
        <w:keepLines/>
        <w:spacing w:before="140" w:after="48"/>
      </w:pPr>
      <w:r>
        <w:rPr>
          <w:rFonts w:ascii="Microsoft JhengHei" w:hAnsi="Microsoft JhengHei" w:eastAsia="Microsoft JhengHei"/>
          <w:b/>
          <w:color w:val="183B63"/>
          <w:sz w:val="25"/>
        </w:rPr>
        <w:t>依據、使用界線與真實資料升格檢核</w:t>
      </w:r>
    </w:p>
    <w:p>
      <w:pPr>
        <w:keepLines/>
        <w:spacing w:before="0" w:after="60" w:line="254" w:lineRule="auto"/>
      </w:pPr>
      <w:r>
        <w:rPr>
          <w:rFonts w:ascii="Microsoft JhengHei" w:hAnsi="Microsoft JhengHei" w:eastAsia="Microsoft JhengHei"/>
          <w:b w:val="0"/>
          <w:color w:val="24364B"/>
          <w:sz w:val="17"/>
        </w:rPr>
        <w:t>官方查核依據：TTQS 人才發展品質管理系統《查核佐證文件資料表－訓練機構版》第 3 頁。以下欄位與流程是供本會審議使用的工作設計，不構成本會已採行、已核定或已執行的證明。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64"/>
        <w:gridCol w:w="1123"/>
        <w:gridCol w:w="1512"/>
        <w:gridCol w:w="1512"/>
        <w:gridCol w:w="1656"/>
        <w:gridCol w:w="1541"/>
      </w:tblGrid>
      <w:tr>
        <w:trPr>
          <w:tblHeader w:val="true"/>
          <w:cantSplit/>
        </w:trPr>
        <w:tc>
          <w:tcPr>
            <w:tcW w:type="dxa" w:w="266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查核要求</w:t>
            </w:r>
          </w:p>
        </w:tc>
        <w:tc>
          <w:tcPr>
            <w:tcW w:type="dxa" w:w="1123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來源</w:t>
            </w:r>
          </w:p>
        </w:tc>
        <w:tc>
          <w:tcPr>
            <w:tcW w:type="dxa" w:w="15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本稿欄位／指標</w:t>
            </w:r>
          </w:p>
        </w:tc>
        <w:tc>
          <w:tcPr>
            <w:tcW w:type="dxa" w:w="15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目前結果</w:t>
            </w:r>
          </w:p>
        </w:tc>
        <w:tc>
          <w:tcPr>
            <w:tcW w:type="dxa" w:w="165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證據位置</w:t>
            </w:r>
          </w:p>
        </w:tc>
        <w:tc>
          <w:tcPr>
            <w:tcW w:type="dxa" w:w="1541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覆核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大型採購均辦理會議通過、師資遴聘後亦經過會議或審查通過並留有紀錄。</w:t>
            </w:r>
          </w:p>
        </w:tc>
        <w:tc>
          <w:tcPr>
            <w:tcW w:type="dxa" w:w="1123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官方查核佐證表第 3 頁</w:t>
            </w:r>
          </w:p>
        </w:tc>
        <w:tc>
          <w:tcPr>
            <w:tcW w:type="dxa" w:w="15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依本文件專屬追溯欄位及表單逐項核對</w:t>
            </w:r>
          </w:p>
        </w:tc>
        <w:tc>
          <w:tcPr>
            <w:tcW w:type="dxa" w:w="15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待取得協會原始紀錄；本稿僅提供可填寫工具</w:t>
            </w:r>
          </w:p>
        </w:tc>
        <w:tc>
          <w:tcPr>
            <w:tcW w:type="dxa" w:w="165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待填真實檔案名稱／位置</w:t>
            </w:r>
          </w:p>
        </w:tc>
        <w:tc>
          <w:tcPr>
            <w:tcW w:type="dxa" w:w="1541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待填覆核者及日期</w:t>
            </w:r>
          </w:p>
        </w:tc>
      </w:tr>
    </w:tbl>
    <w:p>
      <w:pPr>
        <w:spacing w:before="0" w:after="20" w:line="156" w:lineRule="auto"/>
      </w:pPr>
    </w:p>
    <w:p>
      <w:pPr>
        <w:pStyle w:val="Heading2"/>
        <w:keepNext/>
        <w:keepLines/>
        <w:spacing w:before="80" w:after="48"/>
      </w:pPr>
      <w:r>
        <w:rPr>
          <w:rFonts w:ascii="Microsoft JhengHei" w:hAnsi="Microsoft JhengHei" w:eastAsia="Microsoft JhengHei"/>
          <w:b/>
          <w:color w:val="245A81"/>
          <w:sz w:val="21"/>
        </w:rPr>
        <w:t>由工作稿升格為真實佐證前</w:t>
      </w:r>
    </w:p>
    <w:p>
      <w:pPr>
        <w:keepLines/>
        <w:spacing w:before="0" w:after="20" w:line="254" w:lineRule="auto"/>
      </w:pPr>
      <w:r>
        <w:rPr>
          <w:rFonts w:ascii="Microsoft JhengHei" w:hAnsi="Microsoft JhengHei" w:eastAsia="Microsoft JhengHei"/>
          <w:b w:val="0"/>
          <w:color w:val="24364B"/>
          <w:sz w:val="16"/>
        </w:rPr>
        <w:t>正式使用前須以本會原始資料替換空白欄位，核對人員、日期、版本及附件；完成權責審查與核定後再填正式簽核及保存位置。未發生事項不得填為已發生；涉及健康教育及傳統整復推拿內容時，維持非醫療教育表述，不宣稱診療或療效。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893" w:right="950" w:bottom="893" w:left="950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b w:val="0"/>
        <w:color w:val="62748A"/>
        <w:sz w:val="16"/>
      </w:rPr>
      <w:t xml:space="preserve">未核定；待實際資料及簽核後更新｜第 </w: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Microsoft JhengHei" w:hAnsi="Microsoft JhengHei" w:eastAsia="Microsoft JhengHei"/>
        <w:b w:val="0"/>
        <w:color w:val="62748A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b w:val="0"/>
        <w:color w:val="62748A"/>
        <w:sz w:val="16"/>
      </w:rPr>
      <w:t>社團法人屏東縣原始點關懷協會｜文件工作稿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4" w:lineRule="auto"/>
    </w:pPr>
    <w:rPr>
      <w:rFonts w:ascii="Microsoft JhengHei" w:hAnsi="Microsoft JhengHei" w:eastAsia="Microsoft JhengHei"/>
      <w:color w:val="24364B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83B63"/>
      <w:sz w:val="25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45A8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83B63"/>
      <w:spacing w:val="5"/>
      <w:kern w:val="28"/>
      <w:sz w:val="37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大型採購與師資遴聘會議審查紀錄表</dc:title>
  <dc:subject>大型採購均辦理會議通過、師資遴聘後亦經過會議或審查通過並留有紀錄。</dc:subject>
  <dc:creator>社團法人屏東縣原始點關懷協會</dc:creator>
  <cp:keywords>TTQS; 工作稿; 待核定; 待原始資料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