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業主學員及職能需求連結課程計畫表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I11-E01｜指標 11｜文件 0049｜草案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將需求來源、學員需要與職能差距追溯至課程目標、單元、評量、核定、執行及回饋。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先看需求—目標—單元—評量—成果證據追溯矩陣。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真實業主／學員調查、職能分析、核定課程計畫、執行及評量資料。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一、需求蒐集與課程規劃目的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本計畫表以需求來源、學員特性及職能要求為起點，將已核實資料逐項轉成課程目標、單元與評量。需逐課程使用；本稿不指定已核定課程，也不把協會核心方向等同於已完成的市場調查。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272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規劃欄位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待填內容及證據要求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需求單位／課程對象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待填；委託單位或市場群組須有來源與日期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訓練需求與工作情境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待填；附訪談、問卷、工作資料或正式需求原件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受訓者先備條件與差異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待填；使用真實需求資料，不預設人數或背景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職能／能力需求與差距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待填；說明資料來源及差距判定方法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課程定位與目標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待填；可依健康教育、傳統整復推拿技術或經驗證的其他市場需求規劃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規劃版本與狀態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待填；規劃中、送審、核定或修訂，附狀態依據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二、需求—職能—課程追溯矩陣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800"/>
        <w:gridCol w:w="1800"/>
        <w:gridCol w:w="1656"/>
        <w:gridCol w:w="1728"/>
        <w:gridCol w:w="180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需求ID／來源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學員／業主需求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職能或差距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課程目標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單元／產出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評量與證據ID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三、課程計畫摘要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888"/>
        <w:gridCol w:w="3096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計畫項目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連結之需求／職能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課程目標與可觀察成果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課程單元、內容與順序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時數、教學方法及教材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評量方法、標準及通過判定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安全、設備及非醫療表述界線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執行、回饋及成果資料規劃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四、核定、執行及回饋連結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關卡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應留存真實資料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狀態／檔案位置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課程設計審查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版本、意見處理、修訂差異及核定紀錄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正式核定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權責人、日期、核定版本及簽核原件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執行紀錄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實際班次、講師、學員、教材版本及出席原件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評量與回饋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真實評量資料、分析口徑、學員或業主回饋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差距與修訂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目標差距、修訂理由、責任期限及後續驗證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追溯完整率＝每一需求均有目標、單元、評量及證據位置的完整鏈條數 ÷ 需求總數。母數為零或資料未核驗時，填「不適用」或「待資料」，不得報百分比。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業主、學員與職能需求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真實需求來源及日期、對象、職能差距和需求編號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待需求單位／學員原始調查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調查規劃連至課程計畫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需求—目標—單元—評量—執行—成果證據ID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待課程核定及執行原件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4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訓練課程計畫配合業主、受訓者以及職能需求等調查規劃的證明。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4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業主學員及職能需求連結課程計畫表</dc:title>
  <dc:subject>訓練課程計畫配合業主、受訓者以及職能需求等調查規劃的證明。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