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0"/>
      </w:pPr>
      <w:r>
        <w:rPr>
          <w:rFonts w:ascii="Microsoft JhengHei" w:hAnsi="Microsoft JhengHei" w:eastAsia="Microsoft JhengHei"/>
          <w:b/>
          <w:color w:val="183B63"/>
          <w:sz w:val="36"/>
        </w:rPr>
        <w:t>講師遴聘、評選與聘書管理程序草案</w:t>
      </w:r>
    </w:p>
    <w:p>
      <w:pPr>
        <w:keepNext/>
        <w:keepLines/>
        <w:spacing w:before="0" w:after="40" w:line="250" w:lineRule="auto"/>
      </w:pPr>
      <w:r>
        <w:rPr>
          <w:rFonts w:ascii="Microsoft JhengHei" w:hAnsi="Microsoft JhengHei" w:eastAsia="Microsoft JhengHei"/>
          <w:b w:val="0"/>
          <w:color w:val="245A81"/>
          <w:sz w:val="17"/>
        </w:rPr>
        <w:t>I12-E03｜指標 12｜草案：待確認</w:t>
      </w:r>
    </w:p>
    <w:tbl>
      <w:tblPr>
        <w:tblStyle w:val="TableGrid"/>
        <w:tblW w:type="auto" w:w="0"/>
        <w:tblLook w:firstColumn="1" w:firstRow="1" w:lastColumn="0" w:lastRow="0" w:noHBand="0" w:noVBand="1" w:val="04A0"/>
      </w:tblPr>
      <w:tblGrid>
        <w:gridCol w:w="10009"/>
      </w:tblGrid>
      <w:tr>
        <w:trPr>
          <w:cantSplit/>
        </w:trPr>
        <w:tc>
          <w:tcPr>
            <w:tcW w:type="dxa" w:w="10009"/>
            <w:vAlign w:val="center"/>
            <w:tcMar>
              <w:top w:w="55" w:type="dxa"/>
              <w:start w:w="72" w:type="dxa"/>
              <w:bottom w:w="55" w:type="dxa"/>
              <w:end w:w="72" w:type="dxa"/>
            </w:tcMar>
            <w:shd w:fill="FFF2CC"/>
          </w:tcPr>
          <w:p>
            <w:pPr>
              <w:keepLines/>
              <w:spacing w:before="0" w:after="0" w:line="245" w:lineRule="auto"/>
            </w:pPr>
            <w:r/>
            <w:r>
              <w:rPr>
                <w:rFonts w:ascii="Microsoft JhengHei" w:hAnsi="Microsoft JhengHei" w:eastAsia="Microsoft JhengHei"/>
                <w:b/>
                <w:color w:val="183B63"/>
                <w:sz w:val="16"/>
              </w:rPr>
              <w:t>工作稿｜尚待填入本會真實資料並完成審議核定；不代表課程已辦理、流程已核准、聘任已成立、證明已取得或成果已發生。</w:t>
            </w:r>
          </w:p>
        </w:tc>
      </w:tr>
    </w:tbl>
    <w:p>
      <w:pPr>
        <w:spacing w:after="6" w:line="132" w:lineRule="auto"/>
      </w:pPr>
    </w:p>
    <w:tbl>
      <w:tblPr>
        <w:tblStyle w:val="TableGrid"/>
        <w:tblW w:type="auto" w:w="0"/>
        <w:jc w:val="center"/>
        <w:tblLayout w:type="fixed"/>
        <w:tblLook w:firstColumn="1" w:firstRow="1" w:lastColumn="0" w:lastRow="0" w:noHBand="0" w:noVBand="1" w:val="04A0"/>
      </w:tblPr>
      <w:tblGrid>
        <w:gridCol w:w="1512"/>
        <w:gridCol w:w="8381"/>
      </w:tblGrid>
      <w:tr>
        <w:trPr>
          <w:tblHeader w:val="true"/>
          <w:cantSplit/>
        </w:trPr>
        <w:tc>
          <w:tcPr>
            <w:tcW w:type="dxa" w:w="1512"/>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5"/>
              </w:rPr>
              <w:t>先看</w:t>
            </w:r>
          </w:p>
        </w:tc>
        <w:tc>
          <w:tcPr>
            <w:tcW w:type="dxa" w:w="8381"/>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5"/>
              </w:rPr>
              <w:t>說明</w:t>
            </w:r>
          </w:p>
        </w:tc>
      </w:tr>
      <w:tr>
        <w:trPr>
          <w:cantSplit/>
        </w:trPr>
        <w:tc>
          <w:tcPr>
            <w:tcW w:type="dxa" w:w="15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文件用途</w:t>
            </w:r>
          </w:p>
        </w:tc>
        <w:tc>
          <w:tcPr>
            <w:tcW w:type="dxa" w:w="8381"/>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規範講師遴聘標準、評選、委員會核定及聘書簽發前的文件控制。</w:t>
            </w:r>
          </w:p>
        </w:tc>
      </w:tr>
      <w:tr>
        <w:trPr>
          <w:cantSplit/>
        </w:trPr>
        <w:tc>
          <w:tcPr>
            <w:tcW w:type="dxa" w:w="15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怎麼使用</w:t>
            </w:r>
          </w:p>
        </w:tc>
        <w:tc>
          <w:tcPr>
            <w:tcW w:type="dxa" w:w="8381"/>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按流程保存候選資格原件、事前標準、迴避、審議與核定資料；附未簽發的空白聘書欄位。</w:t>
            </w:r>
          </w:p>
        </w:tc>
      </w:tr>
      <w:tr>
        <w:trPr>
          <w:cantSplit/>
        </w:trPr>
        <w:tc>
          <w:tcPr>
            <w:tcW w:type="dxa" w:w="15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評核先看</w:t>
            </w:r>
          </w:p>
        </w:tc>
        <w:tc>
          <w:tcPr>
            <w:tcW w:type="dxa" w:w="8381"/>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本表的流程／檢核／追溯欄位及其後附的真實原始證據索引。</w:t>
            </w:r>
          </w:p>
        </w:tc>
      </w:tr>
      <w:tr>
        <w:trPr>
          <w:cantSplit/>
        </w:trPr>
        <w:tc>
          <w:tcPr>
            <w:tcW w:type="dxa" w:w="15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目前狀態</w:t>
            </w:r>
          </w:p>
        </w:tc>
        <w:tc>
          <w:tcPr>
            <w:tcW w:type="dxa" w:w="8381"/>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只有官方查核要求及空白工作稿；協會現行作法、紀錄、核定與成果均待查證或補入。</w:t>
            </w:r>
          </w:p>
        </w:tc>
      </w:tr>
    </w:tbl>
    <w:p>
      <w:pPr>
        <w:spacing w:after="10" w:line="132" w:lineRule="auto"/>
      </w:pPr>
    </w:p>
    <w:p>
      <w:pPr>
        <w:pStyle w:val="Heading2"/>
        <w:keepNext/>
        <w:keepLines/>
        <w:spacing w:before="60" w:after="40"/>
      </w:pPr>
      <w:r>
        <w:rPr>
          <w:rFonts w:ascii="Microsoft JhengHei" w:hAnsi="Microsoft JhengHei" w:eastAsia="Microsoft JhengHei"/>
          <w:b/>
          <w:color w:val="245A81"/>
          <w:sz w:val="20"/>
        </w:rPr>
        <w:t>官方查核要求</w:t>
      </w:r>
    </w:p>
    <w:p>
      <w:pPr>
        <w:keepLines/>
        <w:spacing w:before="0" w:after="40" w:line="250" w:lineRule="auto"/>
      </w:pPr>
      <w:r>
        <w:rPr>
          <w:rFonts w:ascii="Microsoft JhengHei" w:hAnsi="Microsoft JhengHei" w:eastAsia="Microsoft JhengHei"/>
          <w:b w:val="0"/>
          <w:color w:val="24364B"/>
          <w:sz w:val="17"/>
        </w:rPr>
        <w:t>講師的遴聘依師資遴選標準及流程評選並經訓練管理委員會通過後發給聘書。</w:t>
      </w:r>
    </w:p>
    <w:p>
      <w:pPr>
        <w:pStyle w:val="Heading1"/>
        <w:keepNext/>
        <w:keepLines/>
        <w:spacing w:before="120" w:after="40"/>
      </w:pPr>
      <w:r>
        <w:rPr>
          <w:rFonts w:ascii="Microsoft JhengHei" w:hAnsi="Microsoft JhengHei" w:eastAsia="Microsoft JhengHei"/>
          <w:b/>
          <w:color w:val="183B63"/>
          <w:sz w:val="24"/>
        </w:rPr>
        <w:t>一、師資遴聘流程（草案）</w:t>
      </w:r>
    </w:p>
    <w:tbl>
      <w:tblPr>
        <w:tblStyle w:val="TableGrid"/>
        <w:tblW w:type="auto" w:w="0"/>
        <w:jc w:val="center"/>
        <w:tblLayout w:type="fixed"/>
        <w:tblLook w:firstColumn="1" w:firstRow="1" w:lastColumn="0" w:lastRow="0" w:noHBand="0" w:noVBand="1" w:val="04A0"/>
      </w:tblPr>
      <w:tblGrid>
        <w:gridCol w:w="1512"/>
        <w:gridCol w:w="5213"/>
        <w:gridCol w:w="3168"/>
      </w:tblGrid>
      <w:tr>
        <w:trPr>
          <w:tblHeader w:val="true"/>
          <w:cantSplit/>
        </w:trPr>
        <w:tc>
          <w:tcPr>
            <w:tcW w:type="dxa" w:w="1512"/>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4"/>
              </w:rPr>
              <w:t>階段</w:t>
            </w:r>
          </w:p>
        </w:tc>
        <w:tc>
          <w:tcPr>
            <w:tcW w:type="dxa" w:w="5213"/>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4"/>
              </w:rPr>
              <w:t>檢核事項</w:t>
            </w:r>
          </w:p>
        </w:tc>
        <w:tc>
          <w:tcPr>
            <w:tcW w:type="dxa" w:w="3168"/>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4"/>
              </w:rPr>
              <w:t>應留紀錄</w:t>
            </w:r>
          </w:p>
        </w:tc>
      </w:tr>
      <w:tr>
        <w:trPr>
          <w:cantSplit/>
        </w:trPr>
        <w:tc>
          <w:tcPr>
            <w:tcW w:type="dxa" w:w="15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需求</w:t>
            </w:r>
          </w:p>
        </w:tc>
        <w:tc>
          <w:tcPr>
            <w:tcW w:type="dxa" w:w="5213"/>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明確課程目標、授課單元、專長及必要授課條件。</w:t>
            </w:r>
          </w:p>
        </w:tc>
        <w:tc>
          <w:tcPr>
            <w:tcW w:type="dxa" w:w="316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需求單與核定版本</w:t>
            </w:r>
          </w:p>
        </w:tc>
      </w:tr>
      <w:tr>
        <w:trPr>
          <w:cantSplit/>
        </w:trPr>
        <w:tc>
          <w:tcPr>
            <w:tcW w:type="dxa" w:w="15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遴選</w:t>
            </w:r>
          </w:p>
        </w:tc>
        <w:tc>
          <w:tcPr>
            <w:tcW w:type="dxa" w:w="5213"/>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依事前核定標準查核資格、專長、教學能力及安全要求。</w:t>
            </w:r>
          </w:p>
        </w:tc>
        <w:tc>
          <w:tcPr>
            <w:tcW w:type="dxa" w:w="316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候選資料、查核來源</w:t>
            </w:r>
          </w:p>
        </w:tc>
      </w:tr>
      <w:tr>
        <w:trPr>
          <w:cantSplit/>
        </w:trPr>
        <w:tc>
          <w:tcPr>
            <w:tcW w:type="dxa" w:w="15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評選</w:t>
            </w:r>
          </w:p>
        </w:tc>
        <w:tc>
          <w:tcPr>
            <w:tcW w:type="dxa" w:w="5213"/>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記錄評分依據、利益衝突揭露、討論與未採納理由。</w:t>
            </w:r>
          </w:p>
        </w:tc>
        <w:tc>
          <w:tcPr>
            <w:tcW w:type="dxa" w:w="316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評選表及迴避紀錄</w:t>
            </w:r>
          </w:p>
        </w:tc>
      </w:tr>
      <w:tr>
        <w:trPr>
          <w:cantSplit/>
        </w:trPr>
        <w:tc>
          <w:tcPr>
            <w:tcW w:type="dxa" w:w="15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審議核定</w:t>
            </w:r>
          </w:p>
        </w:tc>
        <w:tc>
          <w:tcPr>
            <w:tcW w:type="dxa" w:w="5213"/>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依本會權責完成委員會審查並留存決議。</w:t>
            </w:r>
          </w:p>
        </w:tc>
        <w:tc>
          <w:tcPr>
            <w:tcW w:type="dxa" w:w="316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會議紀錄、核定日期</w:t>
            </w:r>
          </w:p>
        </w:tc>
      </w:tr>
      <w:tr>
        <w:trPr>
          <w:cantSplit/>
        </w:trPr>
        <w:tc>
          <w:tcPr>
            <w:tcW w:type="dxa" w:w="15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聘任與歸檔</w:t>
            </w:r>
          </w:p>
        </w:tc>
        <w:tc>
          <w:tcPr>
            <w:tcW w:type="dxa" w:w="5213"/>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核定後確認聘任條件並發出正式聘書；未簽發前不得視為聘任成立。</w:t>
            </w:r>
          </w:p>
        </w:tc>
        <w:tc>
          <w:tcPr>
            <w:tcW w:type="dxa" w:w="316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雙方確認文件、聘書及保存索引</w:t>
            </w:r>
          </w:p>
        </w:tc>
      </w:tr>
    </w:tbl>
    <w:p>
      <w:pPr>
        <w:spacing w:after="10" w:line="132" w:lineRule="auto"/>
      </w:pPr>
    </w:p>
    <w:p>
      <w:pPr>
        <w:pStyle w:val="Heading1"/>
        <w:keepNext/>
        <w:keepLines/>
        <w:spacing w:before="120" w:after="40"/>
      </w:pPr>
      <w:r>
        <w:rPr>
          <w:rFonts w:ascii="Microsoft JhengHei" w:hAnsi="Microsoft JhengHei" w:eastAsia="Microsoft JhengHei"/>
          <w:b/>
          <w:color w:val="183B63"/>
          <w:sz w:val="24"/>
        </w:rPr>
        <w:t>二、候選評估與利益迴避</w:t>
      </w:r>
    </w:p>
    <w:tbl>
      <w:tblPr>
        <w:tblStyle w:val="TableGrid"/>
        <w:tblW w:type="auto" w:w="0"/>
        <w:jc w:val="center"/>
        <w:tblLayout w:type="fixed"/>
        <w:tblLook w:firstColumn="1" w:firstRow="1" w:lastColumn="0" w:lastRow="0" w:noHBand="0" w:noVBand="1" w:val="04A0"/>
      </w:tblPr>
      <w:tblGrid>
        <w:gridCol w:w="2376"/>
        <w:gridCol w:w="3024"/>
        <w:gridCol w:w="1944"/>
        <w:gridCol w:w="2549"/>
      </w:tblGrid>
      <w:tr>
        <w:trPr>
          <w:tblHeader w:val="true"/>
          <w:cantSplit/>
        </w:trPr>
        <w:tc>
          <w:tcPr>
            <w:tcW w:type="dxa" w:w="2376"/>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4"/>
              </w:rPr>
              <w:t>評估面向</w:t>
            </w:r>
          </w:p>
        </w:tc>
        <w:tc>
          <w:tcPr>
            <w:tcW w:type="dxa" w:w="3024"/>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4"/>
              </w:rPr>
              <w:t>可核對資料</w:t>
            </w:r>
          </w:p>
        </w:tc>
        <w:tc>
          <w:tcPr>
            <w:tcW w:type="dxa" w:w="1944"/>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4"/>
              </w:rPr>
              <w:t>標準／權重</w:t>
            </w:r>
          </w:p>
        </w:tc>
        <w:tc>
          <w:tcPr>
            <w:tcW w:type="dxa" w:w="2549"/>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4"/>
              </w:rPr>
              <w:t>結果與理由</w:t>
            </w:r>
          </w:p>
        </w:tc>
      </w:tr>
      <w:tr>
        <w:trPr>
          <w:cantSplit/>
        </w:trPr>
        <w:tc>
          <w:tcPr>
            <w:tcW w:type="dxa" w:w="2376"/>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專業專長與課程目標相符</w:t>
            </w:r>
          </w:p>
        </w:tc>
        <w:tc>
          <w:tcPr>
            <w:tcW w:type="dxa" w:w="3024"/>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學經歷或證明原件</w:t>
            </w:r>
          </w:p>
        </w:tc>
        <w:tc>
          <w:tcPr>
            <w:tcW w:type="dxa" w:w="1944"/>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[待核定]</w:t>
            </w:r>
          </w:p>
        </w:tc>
        <w:tc>
          <w:tcPr>
            <w:tcW w:type="dxa" w:w="2549"/>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[待填]</w:t>
            </w:r>
          </w:p>
        </w:tc>
      </w:tr>
      <w:tr>
        <w:trPr>
          <w:cantSplit/>
        </w:trPr>
        <w:tc>
          <w:tcPr>
            <w:tcW w:type="dxa" w:w="2376"/>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教學設計與表達能力</w:t>
            </w:r>
          </w:p>
        </w:tc>
        <w:tc>
          <w:tcPr>
            <w:tcW w:type="dxa" w:w="3024"/>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教學方案／試教資料（如適用）</w:t>
            </w:r>
          </w:p>
        </w:tc>
        <w:tc>
          <w:tcPr>
            <w:tcW w:type="dxa" w:w="1944"/>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[待核定]</w:t>
            </w:r>
          </w:p>
        </w:tc>
        <w:tc>
          <w:tcPr>
            <w:tcW w:type="dxa" w:w="2549"/>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[待填]</w:t>
            </w:r>
          </w:p>
        </w:tc>
      </w:tr>
      <w:tr>
        <w:trPr>
          <w:cantSplit/>
        </w:trPr>
        <w:tc>
          <w:tcPr>
            <w:tcW w:type="dxa" w:w="2376"/>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授課安全與學習支持</w:t>
            </w:r>
          </w:p>
        </w:tc>
        <w:tc>
          <w:tcPr>
            <w:tcW w:type="dxa" w:w="3024"/>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相關訓練或安全作法</w:t>
            </w:r>
          </w:p>
        </w:tc>
        <w:tc>
          <w:tcPr>
            <w:tcW w:type="dxa" w:w="1944"/>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[待核定]</w:t>
            </w:r>
          </w:p>
        </w:tc>
        <w:tc>
          <w:tcPr>
            <w:tcW w:type="dxa" w:w="2549"/>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[待填]</w:t>
            </w:r>
          </w:p>
        </w:tc>
      </w:tr>
      <w:tr>
        <w:trPr>
          <w:cantSplit/>
        </w:trPr>
        <w:tc>
          <w:tcPr>
            <w:tcW w:type="dxa" w:w="2376"/>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可授課期間及條件</w:t>
            </w:r>
          </w:p>
        </w:tc>
        <w:tc>
          <w:tcPr>
            <w:tcW w:type="dxa" w:w="3024"/>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雙方書面確認資料</w:t>
            </w:r>
          </w:p>
        </w:tc>
        <w:tc>
          <w:tcPr>
            <w:tcW w:type="dxa" w:w="1944"/>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[待核定]</w:t>
            </w:r>
          </w:p>
        </w:tc>
        <w:tc>
          <w:tcPr>
            <w:tcW w:type="dxa" w:w="2549"/>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[待填]</w:t>
            </w:r>
          </w:p>
        </w:tc>
      </w:tr>
    </w:tbl>
    <w:p>
      <w:pPr>
        <w:spacing w:after="10" w:line="132" w:lineRule="auto"/>
      </w:pPr>
    </w:p>
    <w:p>
      <w:pPr>
        <w:keepLines/>
        <w:spacing w:before="0" w:after="44" w:line="250" w:lineRule="auto"/>
      </w:pPr>
      <w:r>
        <w:rPr>
          <w:rFonts w:ascii="Microsoft JhengHei" w:hAnsi="Microsoft JhengHei" w:eastAsia="Microsoft JhengHei"/>
          <w:b w:val="0"/>
          <w:color w:val="24364B"/>
          <w:sz w:val="16"/>
        </w:rPr>
        <w:t>利益關係人須依本會核定規則揭露並迴避；資格及推薦資料以原件核對，評估分數與核定不得事後倒填。</w:t>
      </w:r>
    </w:p>
    <w:p>
      <w:pPr>
        <w:pStyle w:val="Heading1"/>
        <w:keepNext/>
        <w:keepLines/>
        <w:spacing w:before="120" w:after="40"/>
      </w:pPr>
      <w:r>
        <w:rPr>
          <w:rFonts w:ascii="Microsoft JhengHei" w:hAnsi="Microsoft JhengHei" w:eastAsia="Microsoft JhengHei"/>
          <w:b/>
          <w:color w:val="183B63"/>
          <w:sz w:val="24"/>
        </w:rPr>
        <w:t>三、聘書草稿範本（未簽發、未生效）</w:t>
      </w:r>
    </w:p>
    <w:tbl>
      <w:tblPr>
        <w:tblStyle w:val="TableGrid"/>
        <w:tblW w:type="auto" w:w="0"/>
        <w:tblLook w:firstColumn="1" w:firstRow="1" w:lastColumn="0" w:lastRow="0" w:noHBand="0" w:noVBand="1" w:val="04A0"/>
      </w:tblPr>
      <w:tblGrid>
        <w:gridCol w:w="10009"/>
      </w:tblGrid>
      <w:tr>
        <w:trPr>
          <w:cantSplit/>
        </w:trPr>
        <w:tc>
          <w:tcPr>
            <w:tcW w:type="dxa" w:w="10009"/>
            <w:vAlign w:val="center"/>
            <w:tcMar>
              <w:top w:w="55" w:type="dxa"/>
              <w:start w:w="72" w:type="dxa"/>
              <w:bottom w:w="55" w:type="dxa"/>
              <w:end w:w="72" w:type="dxa"/>
            </w:tcMar>
            <w:shd w:fill="DCEAF5"/>
          </w:tcPr>
          <w:p>
            <w:pPr>
              <w:keepLines/>
              <w:spacing w:before="0" w:after="0" w:line="245" w:lineRule="auto"/>
            </w:pPr>
            <w:r/>
            <w:r>
              <w:rPr>
                <w:rFonts w:ascii="Microsoft JhengHei" w:hAnsi="Microsoft JhengHei" w:eastAsia="Microsoft JhengHei"/>
                <w:b/>
                <w:color w:val="183B63"/>
                <w:sz w:val="16"/>
              </w:rPr>
              <w:t>本欄僅供本會審議後另行確認；空白範本不是聘任通知或契約。正式聘任應完成權責核准及雙方條件確認。</w:t>
            </w:r>
          </w:p>
        </w:tc>
      </w:tr>
    </w:tbl>
    <w:p>
      <w:pPr>
        <w:spacing w:after="6" w:line="132" w:lineRule="auto"/>
      </w:pPr>
    </w:p>
    <w:tbl>
      <w:tblPr>
        <w:tblStyle w:val="TableGrid"/>
        <w:tblW w:type="auto" w:w="0"/>
        <w:jc w:val="center"/>
        <w:tblLayout w:type="fixed"/>
        <w:tblLook w:firstColumn="1" w:firstRow="1" w:lastColumn="0" w:lastRow="0" w:noHBand="0" w:noVBand="1" w:val="04A0"/>
      </w:tblPr>
      <w:tblGrid>
        <w:gridCol w:w="2448"/>
        <w:gridCol w:w="7445"/>
      </w:tblGrid>
      <w:tr>
        <w:trPr>
          <w:tblHeader w:val="true"/>
          <w:cantSplit/>
        </w:trPr>
        <w:tc>
          <w:tcPr>
            <w:tcW w:type="dxa" w:w="2448"/>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5"/>
              </w:rPr>
              <w:t>聘任欄位</w:t>
            </w:r>
          </w:p>
        </w:tc>
        <w:tc>
          <w:tcPr>
            <w:tcW w:type="dxa" w:w="7445"/>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5"/>
              </w:rPr>
              <w:t>待填內容</w:t>
            </w:r>
          </w:p>
        </w:tc>
      </w:tr>
      <w:tr>
        <w:trPr>
          <w:cantSplit/>
        </w:trPr>
        <w:tc>
          <w:tcPr>
            <w:tcW w:type="dxa" w:w="244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講師姓名／課程及授課範圍</w:t>
            </w:r>
          </w:p>
        </w:tc>
        <w:tc>
          <w:tcPr>
            <w:tcW w:type="dxa" w:w="7445"/>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[待填]</w:t>
            </w:r>
          </w:p>
        </w:tc>
      </w:tr>
      <w:tr>
        <w:trPr>
          <w:cantSplit/>
        </w:trPr>
        <w:tc>
          <w:tcPr>
            <w:tcW w:type="dxa" w:w="244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聘任期間／授課安排</w:t>
            </w:r>
          </w:p>
        </w:tc>
        <w:tc>
          <w:tcPr>
            <w:tcW w:type="dxa" w:w="7445"/>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[待填；以雙方確認為準]</w:t>
            </w:r>
          </w:p>
        </w:tc>
      </w:tr>
      <w:tr>
        <w:trPr>
          <w:cantSplit/>
        </w:trPr>
        <w:tc>
          <w:tcPr>
            <w:tcW w:type="dxa" w:w="244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費用或其他條件</w:t>
            </w:r>
          </w:p>
        </w:tc>
        <w:tc>
          <w:tcPr>
            <w:tcW w:type="dxa" w:w="7445"/>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[待議並依授權核准]</w:t>
            </w:r>
          </w:p>
        </w:tc>
      </w:tr>
      <w:tr>
        <w:trPr>
          <w:cantSplit/>
        </w:trPr>
        <w:tc>
          <w:tcPr>
            <w:tcW w:type="dxa" w:w="244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核准與簽發日期</w:t>
            </w:r>
          </w:p>
        </w:tc>
        <w:tc>
          <w:tcPr>
            <w:tcW w:type="dxa" w:w="7445"/>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[待核定／未簽發]</w:t>
            </w:r>
          </w:p>
        </w:tc>
      </w:tr>
    </w:tbl>
    <w:p>
      <w:pPr>
        <w:spacing w:after="10" w:line="132" w:lineRule="auto"/>
      </w:pPr>
    </w:p>
    <w:p>
      <w:pPr>
        <w:keepLines/>
        <w:spacing w:before="0" w:after="20" w:line="250" w:lineRule="auto"/>
      </w:pPr>
      <w:r>
        <w:rPr>
          <w:rFonts w:ascii="Microsoft JhengHei" w:hAnsi="Microsoft JhengHei" w:eastAsia="Microsoft JhengHei"/>
          <w:b w:val="0"/>
          <w:color w:val="62748A"/>
          <w:sz w:val="16"/>
        </w:rPr>
        <w:t>來源與真實性：官方要求依查核表所列；本稿為可編輯工作稿。協會現況、核定、執行、第三方證明及成果均以取得的真實原始資料為準。</w:t>
      </w:r>
    </w:p>
    <w:sectPr w:rsidR="00FC693F" w:rsidRPr="0006063C" w:rsidSect="00034616">
      <w:headerReference w:type="default" r:id="rId9"/>
      <w:footerReference w:type="default" r:id="rId10"/>
      <w:pgSz w:w="11909" w:h="16834"/>
      <w:pgMar w:top="835" w:right="950" w:bottom="835" w:left="95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color w:val="62748A"/>
        <w:sz w:val="16"/>
      </w:rPr>
      <w:t xml:space="preserve">待本會填實、審議核定後使用｜第 </w:t>
    </w:r>
    <w:r>
      <w:rPr>
        <w:rFonts w:ascii="Microsoft JhengHei" w:hAnsi="Microsoft JhengHei" w:eastAsia="Microsoft JhengHei"/>
        <w:b w:val="0"/>
        <w:color w:val="62748A"/>
        <w:sz w:val="16"/>
      </w:rPr>
      <w:fldChar w:fldCharType="begin"/>
      <w:instrText xml:space="preserve">PAGE</w:instrText>
      <w:fldChar w:fldCharType="separate"/>
      <w:t>1</w:t>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b w:val="0"/>
        <w:color w:val="62748A"/>
        <w:sz w:val="16"/>
      </w:rPr>
      <w:t>社團法人屏東縣原始點關懷協會｜文件工作稿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0" w:lineRule="auto"/>
    </w:pPr>
    <w:rPr>
      <w:rFonts w:ascii="Microsoft JhengHei" w:hAnsi="Microsoft JhengHei" w:eastAsia="Microsoft JhengHei"/>
      <w:color w:val="24364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83B63"/>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245A8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JhengHei" w:hAnsi="Microsoft JhengHei" w:eastAsia="Microsoft JhengHei"/>
      <w:b/>
      <w:color w:val="183B63"/>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