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訓後滿意度調查與利害關係人課後檢討紀錄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I17A-E01｜指標 17｜草案：待確認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收集並分析真實課後滿意度及講師、學員、人資、部門主管等利益關係人的建議。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依實際對象和核定工具執行；問卷回覆、統計、檢討及附件均待原始資料。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課後滿意度調查分析與課後檢討講師、學員、人資、部門主管等利益關係人的建議回饋紀錄。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一、調查與檢討基本資料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本文件含空白問卷及分析表。沒有實際發放、回收和課後檢討時，不得填造意見、回收數、分數或會議結論。量尺與調查方式須由本會依課程及個資保護需求核定。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653"/>
      </w:tblGrid>
      <w:tr>
        <w:trPr>
          <w:tblHeader w:val="true"/>
          <w:cantSplit/>
        </w:trPr>
        <w:tc>
          <w:tcPr>
            <w:tcW w:type="dxa" w:w="32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調查欄位</w:t>
            </w:r>
          </w:p>
        </w:tc>
        <w:tc>
          <w:tcPr>
            <w:tcW w:type="dxa" w:w="66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實際填寫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課程／版本／班次與期間</w:t>
            </w:r>
          </w:p>
        </w:tc>
        <w:tc>
          <w:tcPr>
            <w:tcW w:type="dxa" w:w="66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[待填；以核定及實際紀錄為準]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調查對象與方式</w:t>
            </w:r>
          </w:p>
        </w:tc>
        <w:tc>
          <w:tcPr>
            <w:tcW w:type="dxa" w:w="66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[學員／講師／人資／部門主管等；依實際對象填]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發放／回收／有效份數</w:t>
            </w:r>
          </w:p>
        </w:tc>
        <w:tc>
          <w:tcPr>
            <w:tcW w:type="dxa" w:w="66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[取得原始回覆後填；不得預填]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匿名、同意與資料保存方式</w:t>
            </w:r>
          </w:p>
        </w:tc>
        <w:tc>
          <w:tcPr>
            <w:tcW w:type="dxa" w:w="66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[待核定；不蒐集超出目的的個資]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調查工具版本／分析責任角色</w:t>
            </w:r>
          </w:p>
        </w:tc>
        <w:tc>
          <w:tcPr>
            <w:tcW w:type="dxa" w:w="66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[待填／待核定]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二、學員滿意度問卷（空白題目）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建議題目僅作問卷設計範本；每題量尺、選項、開放題及匿名方式，須配合實際課程核定。作答欄保持空白。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2088"/>
        <w:gridCol w:w="3485"/>
      </w:tblGrid>
      <w:tr>
        <w:trPr>
          <w:tblHeader w:val="true"/>
          <w:cantSplit/>
        </w:trPr>
        <w:tc>
          <w:tcPr>
            <w:tcW w:type="dxa" w:w="43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題目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量尺／作答</w:t>
            </w:r>
          </w:p>
        </w:tc>
        <w:tc>
          <w:tcPr>
            <w:tcW w:type="dxa" w:w="348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實際回覆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課程目標與內容是否清楚且相符？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[量尺待核定]</w:t>
            </w:r>
          </w:p>
        </w:tc>
        <w:tc>
          <w:tcPr>
            <w:tcW w:type="dxa" w:w="348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[空白]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教材、教學活動及練習是否有助學習？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[量尺待核定]</w:t>
            </w:r>
          </w:p>
        </w:tc>
        <w:tc>
          <w:tcPr>
            <w:tcW w:type="dxa" w:w="348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[空白]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課程安排、時間及學習支持是否合宜？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[量尺待核定]</w:t>
            </w:r>
          </w:p>
        </w:tc>
        <w:tc>
          <w:tcPr>
            <w:tcW w:type="dxa" w:w="348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[空白]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最有幫助的內容及原因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開放題</w:t>
            </w:r>
          </w:p>
        </w:tc>
        <w:tc>
          <w:tcPr>
            <w:tcW w:type="dxa" w:w="348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[空白]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希望調整或增加的內容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開放題</w:t>
            </w:r>
          </w:p>
        </w:tc>
        <w:tc>
          <w:tcPr>
            <w:tcW w:type="dxa" w:w="348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[空白]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三、利益關係人課後回饋與檢討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728"/>
        <w:gridCol w:w="2520"/>
        <w:gridCol w:w="1800"/>
        <w:gridCol w:w="1901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對象／角色</w:t>
            </w:r>
          </w:p>
        </w:tc>
        <w:tc>
          <w:tcPr>
            <w:tcW w:type="dxa" w:w="17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回饋來源／期間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意見摘要與證據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判讀／課程關聯</w:t>
            </w:r>
          </w:p>
        </w:tc>
        <w:tc>
          <w:tcPr>
            <w:tcW w:type="dxa" w:w="190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回應／待辦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學員</w:t>
            </w:r>
          </w:p>
        </w:tc>
        <w:tc>
          <w:tcPr>
            <w:tcW w:type="dxa" w:w="17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[待取得；保留原意]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[待判讀]</w:t>
            </w:r>
          </w:p>
        </w:tc>
        <w:tc>
          <w:tcPr>
            <w:tcW w:type="dxa" w:w="190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[待決定]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講師</w:t>
            </w:r>
          </w:p>
        </w:tc>
        <w:tc>
          <w:tcPr>
            <w:tcW w:type="dxa" w:w="17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[待取得；依實際紀錄]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[待判讀]</w:t>
            </w:r>
          </w:p>
        </w:tc>
        <w:tc>
          <w:tcPr>
            <w:tcW w:type="dxa" w:w="190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[待決定]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人資／承辦</w:t>
            </w:r>
          </w:p>
        </w:tc>
        <w:tc>
          <w:tcPr>
            <w:tcW w:type="dxa" w:w="17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[待取得；依實際紀錄]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[待判讀]</w:t>
            </w:r>
          </w:p>
        </w:tc>
        <w:tc>
          <w:tcPr>
            <w:tcW w:type="dxa" w:w="190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[待決定]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部門主管／其他利害關係人</w:t>
            </w:r>
          </w:p>
        </w:tc>
        <w:tc>
          <w:tcPr>
            <w:tcW w:type="dxa" w:w="17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[待取得；依實際紀錄]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[待判讀]</w:t>
            </w:r>
          </w:p>
        </w:tc>
        <w:tc>
          <w:tcPr>
            <w:tcW w:type="dxa" w:w="190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[待決定]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四、統計與檢討結論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5069"/>
        <w:gridCol w:w="2952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項目</w:t>
            </w:r>
          </w:p>
        </w:tc>
        <w:tc>
          <w:tcPr>
            <w:tcW w:type="dxa" w:w="50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計算／整理口徑</w:t>
            </w:r>
          </w:p>
        </w:tc>
        <w:tc>
          <w:tcPr>
            <w:tcW w:type="dxa" w:w="295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結果／限制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回收率</w:t>
            </w:r>
          </w:p>
        </w:tc>
        <w:tc>
          <w:tcPr>
            <w:tcW w:type="dxa" w:w="50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有效回覆份數 ÷ 可回覆對象數 × 100%；說明無效／未回覆處理。</w:t>
            </w:r>
          </w:p>
        </w:tc>
        <w:tc>
          <w:tcPr>
            <w:tcW w:type="dxa" w:w="295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[待計算；附母數]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量尺題分布</w:t>
            </w:r>
          </w:p>
        </w:tc>
        <w:tc>
          <w:tcPr>
            <w:tcW w:type="dxa" w:w="50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逐題列各選項份數；平均數只在量尺適用且核定時使用。</w:t>
            </w:r>
          </w:p>
        </w:tc>
        <w:tc>
          <w:tcPr>
            <w:tcW w:type="dxa" w:w="295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[待取得原始回覆]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開放意見</w:t>
            </w:r>
          </w:p>
        </w:tc>
        <w:tc>
          <w:tcPr>
            <w:tcW w:type="dxa" w:w="50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按主題整理，保留原意並去識別化；不以少數回覆概括全體。</w:t>
            </w:r>
          </w:p>
        </w:tc>
        <w:tc>
          <w:tcPr>
            <w:tcW w:type="dxa" w:w="295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課後檢討／改善</w:t>
            </w:r>
          </w:p>
        </w:tc>
        <w:tc>
          <w:tcPr>
            <w:tcW w:type="dxa" w:w="50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連結意見、決定、負責角色及後續驗證。</w:t>
            </w:r>
          </w:p>
        </w:tc>
        <w:tc>
          <w:tcPr>
            <w:tcW w:type="dxa" w:w="295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[待核定／追蹤]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20" w:line="250" w:lineRule="auto"/>
      </w:pPr>
      <w:r>
        <w:rPr>
          <w:rFonts w:ascii="Microsoft JhengHei" w:hAnsi="Microsoft JhengHei" w:eastAsia="Microsoft JhengHei"/>
          <w:b w:val="0"/>
          <w:color w:val="62748A"/>
          <w:sz w:val="16"/>
        </w:rPr>
        <w:t>資料與真實性：本稿依官方查核要求設計，尚須本會依實際制度、資料及權責審議補正。未填資料不表示稽核、課程、問卷、回饋、改善、核定或成果已發生。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