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訓練績效改善調查與課後行動評估表</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用目標客戶／學員意見及課後行動追蹤了解訓練是否有助於工作表現；主觀回覆與客觀結果分開。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對符合條件且同意的對象發放同一版問卷；按實際回覆和行動紀錄彙整，不代填。</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先看樣本與回收分母，再看績效感受題、行動計畫及可核驗的後續證據。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尚無本批問卷、有效回覆或課後行動計畫資料；此表是空白調查／評估工具，不表示已有改善。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對應查核項目：問卷調查及課後行動計畫評估表等顯示目標客戶及學員認為訓練有績效改善的效果。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本件待補：實際課程與適用對象、填答同意、問卷版本、有效回覆、課後計畫及追蹤證據。</w:t>
      </w:r>
    </w:p>
    <w:p>
      <w:pPr>
        <w:pStyle w:val="Heading1"/>
        <w:keepNext/>
      </w:pPr>
      <w:r>
        <w:rPr>
          <w:rFonts w:ascii="Microsoft JhengHei" w:hAnsi="Microsoft JhengHei" w:eastAsia="Microsoft JhengHei"/>
          <w:b/>
          <w:color w:val="183B63"/>
          <w:sz w:val="30"/>
        </w:rPr>
        <w:t>一、調查設定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w:t>
            </w:r>
          </w:p>
        </w:tc>
        <w:tc>
          <w:tcPr>
            <w:tcW w:type="dxa" w:w="78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問卷調查及課後行動計畫評估表等顯示目標客戶及學員認為訓練有績效改善的效果。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班次／課程及版本</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[待補；未核定先標待核]</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調查對象</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□學員 □目標客戶 □委託單位；適用範圍：[待補]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調查期間／方式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[待補；實際邀請與回收後填寫]</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同意與匿名方式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[待補；說明自願、用途及去識別方式]</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評分方式</w:t>
            </w:r>
          </w:p>
        </w:tc>
        <w:tc>
          <w:tcPr>
            <w:tcW w:type="dxa" w:w="78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1＝非常不同意；2＝不同意；3＝普通；4＝同意；5＝非常同意；無法判斷／未接觸不計平均。</w:t>
            </w:r>
          </w:p>
        </w:tc>
      </w:tr>
    </w:tbl>
    <w:p>
      <w:pPr>
        <w:spacing w:after="0" w:before="0" w:line="20" w:lineRule="exact"/>
      </w:pPr>
    </w:p>
    <w:p>
      <w:pPr>
        <w:keepLines/>
      </w:pPr>
      <w:r>
        <w:rPr>
          <w:rFonts w:ascii="Microsoft JhengHei" w:hAnsi="Microsoft JhengHei" w:eastAsia="Microsoft JhengHei"/>
          <w:b w:val="0"/>
          <w:color w:val="24364B"/>
          <w:sz w:val="22"/>
        </w:rPr>
        <w:t>填答提醒：以工作觀察與自願意見為限，不蒐集與查核無關的健康、身分或財務敏感資訊；未填、拒答及無法觀察均分開記錄。</w:t>
      </w:r>
    </w:p>
    <w:p>
      <w:pPr>
        <w:pStyle w:val="Heading1"/>
        <w:keepNext/>
      </w:pPr>
      <w:r>
        <w:rPr>
          <w:rFonts w:ascii="Microsoft JhengHei" w:hAnsi="Microsoft JhengHei" w:eastAsia="Microsoft JhengHei"/>
          <w:b/>
          <w:color w:val="183B63"/>
          <w:sz w:val="30"/>
        </w:rPr>
        <w:t>二、績效改善感受問卷</w:t>
      </w:r>
    </w:p>
    <w:tbl>
      <w:tblPr>
        <w:tblStyle w:val="TableGrid"/>
        <w:tblW w:type="auto" w:w="0"/>
        <w:jc w:val="center"/>
        <w:tblLayout w:type="fixed"/>
        <w:tblLook w:firstColumn="1" w:firstRow="1" w:lastColumn="0" w:lastRow="0" w:noHBand="0" w:noVBand="1" w:val="04A0"/>
      </w:tblPr>
      <w:tblGrid>
        <w:gridCol w:w="1429"/>
        <w:gridCol w:w="1429"/>
        <w:gridCol w:w="1429"/>
        <w:gridCol w:w="1429"/>
        <w:gridCol w:w="1429"/>
        <w:gridCol w:w="1429"/>
        <w:gridCol w:w="1429"/>
      </w:tblGrid>
      <w:tr>
        <w:trPr>
          <w:tblHeader w:val="true"/>
        </w:trPr>
        <w:tc>
          <w:tcPr>
            <w:tcW w:type="dxa" w:w="45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題目</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1</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2</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3</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4</w:t>
            </w:r>
          </w:p>
        </w:tc>
        <w:tc>
          <w:tcPr>
            <w:tcW w:type="dxa" w:w="6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5</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無法判斷／未接觸</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課程內容與目前工作任務相關</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訓練後較能按工作要求完成指定任務</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訓練所學有助於工作流程或服務品質</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訓練後能說明工作表現改變的實例</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改善可由工作紀錄或主管觀察查證</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r>
        <w:tc>
          <w:tcPr>
            <w:tcW w:type="dxa" w:w="45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其他可能影響表現的因素已一併考量</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6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w:t>
            </w:r>
          </w:p>
        </w:tc>
      </w:tr>
    </w:tbl>
    <w:p>
      <w:pPr>
        <w:spacing w:after="0" w:before="0" w:line="20" w:lineRule="exact"/>
      </w:pPr>
    </w:p>
    <w:p>
      <w:pPr>
        <w:pStyle w:val="Heading1"/>
        <w:keepNext/>
      </w:pPr>
      <w:r>
        <w:rPr>
          <w:rFonts w:ascii="Microsoft JhengHei" w:hAnsi="Microsoft JhengHei" w:eastAsia="Microsoft JhengHei"/>
          <w:b/>
          <w:color w:val="183B63"/>
          <w:sz w:val="30"/>
        </w:rPr>
        <w:t>三、課後行動計畫與追蹤</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填寫內容／狀態</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預定應用任務</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[待填：實際工作情境]</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行動步驟與完成期限</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[待補；核定後填]</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負責／協助角色</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所需支持與可能障礙</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追蹤方式／日期</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[實際追蹤後記錄]</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完成狀態與證據位置</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□未開始 □進行中 □完成 □未完成；檔案位置：[待補]</w:t>
            </w:r>
          </w:p>
        </w:tc>
      </w:tr>
    </w:tbl>
    <w:p>
      <w:pPr>
        <w:spacing w:after="0" w:before="0" w:line="20" w:lineRule="exact"/>
      </w:pPr>
    </w:p>
    <w:p>
      <w:pPr>
        <w:pStyle w:val="Heading1"/>
        <w:keepNext/>
      </w:pPr>
      <w:r>
        <w:rPr>
          <w:rFonts w:ascii="Microsoft JhengHei" w:hAnsi="Microsoft JhengHei" w:eastAsia="Microsoft JhengHei"/>
          <w:b/>
          <w:color w:val="183B63"/>
          <w:sz w:val="30"/>
        </w:rPr>
        <w:t>四、回收統計與判讀</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指標</w:t>
            </w:r>
          </w:p>
        </w:tc>
        <w:tc>
          <w:tcPr>
            <w:tcW w:type="dxa" w:w="59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口徑／規則</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本次結果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有效回覆率</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有效回覆數 ÷ 符合條件且成功邀請人數；另列未回、拒答及無效。</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績效改善感受</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按題列有效 N、分布與中位數；不可用感受取代客觀績效。</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行動完成率</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有證據完成數 ÷ 到期且適用行動數；未到期另列。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客觀佐證</w:t>
            </w:r>
          </w:p>
        </w:tc>
        <w:tc>
          <w:tcPr>
            <w:tcW w:type="dxa" w:w="59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工作紀錄／主管觀察／指標底稿位置；未取得則標待補。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五、差異、限制與改善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問題／發現</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來源位置</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可能原因</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後續措施</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責任／期限</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問卷版次／邀請名冊</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有效回覆原件</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課後行動與佐證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實際追蹤後建立</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問卷調查及課後行動計畫評估表等顯示目標客戶及學員認為訓練有績效改善的效果。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問卷及課後計畫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回覆 N／有效分母／行動結果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問卷原始回覆</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與分布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訓練績效改善調查與課後行動評估表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