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能力提升雷達分析報告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示範如何以同一批配對資料整理訓前／訓後自評及雷達圖；此件只提供分析版型。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正式使用時填入同一版核定能力項目、有效配對樣本及可追溯原始問卷；示例數字須整段移除或替換。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先看紅色資料界線、配對資料表及雷達圖，再看樣本口徑、限制與證據索引。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本會尚無本批課程、能力項目核定版或實際前後測資料。圖表及數字均為明確標示的合成示例，不是協會實績。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對應查核項目：學員培訓前後自我評量表及雷達分析圖呈現提升效果。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本件待補：經核定能力項目、同版前後測原始問卷、學員同意、實際配對分母、資料覆核及附件位置。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示例警語：本報告中的 S01–S04、分數、平均數及圖表均為合成演示資料，非真實學員、課程或協會成果；正式送評前必須移除或以原始資料完整替換。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一、成果命題與適用範圍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欄位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填寫／判讀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學員培訓前後自我評量表及雷達分析圖呈現提升效果。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成果命題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以配對前後測觀察自我評量分數變化，搭配雷達圖呈現各能力面向；自評變化不等於客觀能力或工作成果。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適用情境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僅限已核定能力項目、已完成前後測且取得必要同意的學員；實際班次與期間：[待補]。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證據強度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目前為合成方法示範；不得據此宣稱本會已有提升或取得任何分數。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二、配對樣本與示例原始值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合成代碼</w:t>
            </w:r>
          </w:p>
        </w:tc>
        <w:tc>
          <w:tcPr>
            <w:tcW w:type="dxa" w:w="40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訓前 A–F 分數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訓後 A–F 分數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S01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2、2、3、2、1、2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3、3、3、4、2、3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S02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1、2、2、3、2、2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2、3、3、3、3、3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S03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3、2、2、2、3、2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3、3、3、3、3、4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S04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2、3、1、2、2、3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3、4、2、3、3、4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三、成果指標、資料血緣與結果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指標／面向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分子／分母與期間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來源／基準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示例實績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3"/>
              </w:rPr>
              <w:t>目標／狀態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能力項目A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2.00 → 2.75（差異 0.75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能力項目B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2.25 → 3.25（差異 1.00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能力項目C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2.00 → 2.75（差異 0.75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能力項目D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2.25 → 3.25（差異 1.00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能力項目E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2.00 → 2.75（差異 0.75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能力項目F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訓前、訓後同一能力項目的有效配對分數；期間：[示例，無實際日期]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S01–S04 合成表；訓前平均為基準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2.25 → 3.50（差異 1.25 分）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[待核定；示例不代表目標]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計算方式：每項訓後平均－訓前平均；兩次平均都只用有效配對者，並列 n。若統計成果率，分子＝達成預先定義門檻的配對人數，分母＝具完整有效配對資料的人數。Likert 量尺視為描述性序位資料，不把分數差異說成統計顯著或因果效果。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四、合成個案示例與限制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案例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前狀態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介入／期間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後狀態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佐證位置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S01（合成）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A–F：2、2、3、2、1、2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僅為格式演示；非實際訓練紀錄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A–F：3、3、3、4、2、3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本報告合成表；不可作為評核證據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五、雷達圖與判讀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下圖僅顯示合成資料的計算方式；正式圖表應標示核定能力版本、測量期間、有效配對 N 與原始資料位置。</w:t>
      </w:r>
    </w:p>
    <w:p>
      <w:pPr>
        <w:spacing w:before="0" w:after="0" w:line="20" w:lineRule="exact"/>
      </w:pPr>
      <w:r>
        <w:drawing>
          <wp:inline xmlns:a="http://schemas.openxmlformats.org/drawingml/2006/main" xmlns:pic="http://schemas.openxmlformats.org/drawingml/2006/picture">
            <wp:extent cx="5394960" cy="4028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1_synthetic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28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圖 1　合成資料雷達圖；非本會成果，正式資料待取得後重製。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六、限制、交叉驗證與改善決策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檢核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本件處理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信度／缺漏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目前沒有真實樣本；正式分析須列未回、無效、失配與排除數，並說明評量者及量尺限制。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交叉驗證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I17 課程／執行資料、I18 配對評量及 I19 工作／組織成果各自引用原始資料；不得以自評替代外部證明。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改善／擴散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只有覆核真實資料後，才由權責者決定調整能力指標或課程；本示例不支持任何核定或擴散決定。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附件索引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實際前後測、能力指標核定版、同意紀錄、分析底稿及圖表來源：[待補]。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學員培訓前後自我評量表及雷達分析圖呈現提升效果。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核定能力指標與同版問卷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配對分數／有效 N／差異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[待取得；待填頁次]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樣本母體與期間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實際班次及回收紀錄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分子／分母／缺漏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雷達圖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實際配對資料與分析底稿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各能力面向訓前／訓後平均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能力提升雷達分析報告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