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訓練績效改善調查與課後行動評估表</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用目標客戶／學員意見及課後行動追蹤了解訓練是否有助於工作表現；主觀回覆與客觀結果分開。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對符合條件且同意的對象發放同一版問卷；按實際回覆和行動紀錄彙整，不代填。</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先看樣本與回收分母，再看績效感受題、行動計畫及可核驗的後續證據。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尚無本批問卷、有效回覆或課後行動計畫資料；此表是空白調查／評估工具，不表示已有改善。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對應查核項目：問卷調查及課後行動計畫評估表等顯示目標客戶及學員認為訓練有績效改善的效果。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本件待補：實際課程與適用對象、填答同意、問卷版本、有效回覆、課後計畫及追蹤證據。</w:t>
      </w:r>
    </w:p>
    <w:p>
      <w:pPr>
        <w:pStyle w:val="Heading1"/>
        <w:keepNext/>
      </w:pPr>
      <w:r>
        <w:rPr>
          <w:rFonts w:ascii="Microsoft JhengHei" w:hAnsi="Microsoft JhengHei" w:eastAsia="Microsoft JhengHei"/>
          <w:b/>
          <w:color w:val="183B63"/>
          <w:sz w:val="30"/>
        </w:rPr>
        <w:t>一、調查設定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w:t>
            </w:r>
          </w:p>
        </w:tc>
        <w:tc>
          <w:tcPr>
            <w:tcW w:type="dxa" w:w="78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問卷調查及課後行動計畫評估表等顯示目標客戶及學員認為訓練有績效改善的效果。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班次／課程及版本</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[待補；未核定先標待核]</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調查對象</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□學員 □目標客戶 □委託單位；適用範圍：[待補]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調查期間／方式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[待補；實際邀請與回收後填寫]</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同意與匿名方式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[待補；說明自願、用途及去識別方式]</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1＝非常不同意；2＝不同意；3＝普通；4＝同意；5＝非常同意；無法判斷／未接觸不計平均。</w:t>
            </w:r>
          </w:p>
        </w:tc>
      </w:tr>
    </w:tbl>
    <w:p>
      <w:pPr>
        <w:spacing w:after="0" w:before="0" w:line="20" w:lineRule="exact"/>
      </w:pPr>
    </w:p>
    <w:p>
      <w:pPr>
        <w:keepLines/>
      </w:pPr>
      <w:r>
        <w:rPr>
          <w:rFonts w:ascii="Microsoft JhengHei" w:hAnsi="Microsoft JhengHei" w:eastAsia="Microsoft JhengHei"/>
          <w:b w:val="0"/>
          <w:color w:val="24364B"/>
          <w:sz w:val="22"/>
        </w:rPr>
        <w:t>填答提醒：以工作觀察與自願意見為限，不蒐集與查核無關的健康、身分或財務敏感資訊；未填、拒答及無法觀察均分開記錄。</w:t>
      </w:r>
    </w:p>
    <w:p>
      <w:pPr>
        <w:pStyle w:val="Heading1"/>
        <w:keepNext/>
      </w:pPr>
      <w:r>
        <w:rPr>
          <w:rFonts w:ascii="Microsoft JhengHei" w:hAnsi="Microsoft JhengHei" w:eastAsia="Microsoft JhengHei"/>
          <w:b/>
          <w:color w:val="183B63"/>
          <w:sz w:val="30"/>
        </w:rPr>
        <w:t>二、績效改善感受問卷</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45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無法判斷／未接觸</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課程內容與目前工作任務相關</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訓練後較能按工作要求完成指定任務</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訓練所學有助於工作流程或服務品質</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訓練後能說明工作表現改變的實例</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改善可由工作紀錄或主管觀察查證</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其他可能影響表現的因素已一併考量</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三、課後行動計畫與追蹤</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填寫內容／狀態</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預定應用任務</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[待填：實際工作情境]</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行動步驟與完成期限</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[待補；核定後填]</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負責／協助角色</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所需支持與可能障礙</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追蹤方式／日期</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[實際追蹤後記錄]</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完成狀態與證據位置</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□未開始 □進行中 □完成 □未完成；檔案位置：[待補]</w:t>
            </w:r>
          </w:p>
        </w:tc>
      </w:tr>
    </w:tbl>
    <w:p>
      <w:pPr>
        <w:spacing w:after="0" w:before="0" w:line="20" w:lineRule="exact"/>
      </w:pPr>
    </w:p>
    <w:p>
      <w:pPr>
        <w:pStyle w:val="Heading1"/>
        <w:keepNext/>
      </w:pPr>
      <w:r>
        <w:rPr>
          <w:rFonts w:ascii="Microsoft JhengHei" w:hAnsi="Microsoft JhengHei" w:eastAsia="Microsoft JhengHei"/>
          <w:b/>
          <w:color w:val="183B63"/>
          <w:sz w:val="30"/>
        </w:rPr>
        <w:t>四、回收統計與判讀</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指標</w:t>
            </w:r>
          </w:p>
        </w:tc>
        <w:tc>
          <w:tcPr>
            <w:tcW w:type="dxa" w:w="59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口徑／規則</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本次結果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有效回覆率</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有效回覆數 ÷ 符合條件且成功邀請人數；另列未回、拒答及無效。</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績效改善感受</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按題列有效 N、分布與中位數；不可用感受取代客觀績效。</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行動完成率</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有證據完成數 ÷ 到期且適用行動數；未到期另列。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客觀佐證</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工作紀錄／主管觀察／指標底稿位置；未取得則標待補。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五、差異、限制與改善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問題／發現</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來源位置</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可能原因</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後續措施</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責任／期限</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問卷版次／邀請名冊</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課後行動與佐證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實際追蹤後建立</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問卷調查及課後行動計畫評估表等顯示目標客戶及學員認為訓練有績效改善的效果。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問卷及課後計畫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回覆 N／有效分母／行動結果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問卷原始回覆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與分布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1"/>
        <w:keepNext/>
      </w:pPr>
      <w:r>
        <w:rPr>
          <w:rFonts w:ascii="Microsoft JhengHei" w:hAnsi="Microsoft JhengHei" w:eastAsia="Microsoft JhengHei"/>
          <w:b/>
          <w:color w:val="183B63"/>
          <w:sz w:val="30"/>
        </w:rPr>
        <w:t>六、送審前完整性檢核與歸檔</w:t>
      </w:r>
    </w:p>
    <w:p>
      <w:pPr>
        <w:keepLines/>
      </w:pPr>
      <w:r>
        <w:rPr>
          <w:rFonts w:ascii="Microsoft JhengHei" w:hAnsi="Microsoft JhengHei" w:eastAsia="Microsoft JhengHei"/>
          <w:b w:val="0"/>
          <w:color w:val="24364B"/>
          <w:sz w:val="22"/>
        </w:rPr>
        <w:t>逐項核對並填入可回查的位置；待補、不適用與已核實分開記錄。檢核表本身不代表已完成調查、改善或核定。</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檢核項目</w:t>
            </w:r>
          </w:p>
        </w:tc>
        <w:tc>
          <w:tcPr>
            <w:tcW w:type="dxa" w:w="43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核對內容</w:t>
            </w:r>
          </w:p>
        </w:tc>
        <w:tc>
          <w:tcPr>
            <w:tcW w:type="dxa" w:w="27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證據／欄位位置</w:t>
            </w:r>
          </w:p>
        </w:tc>
        <w:tc>
          <w:tcPr>
            <w:tcW w:type="dxa" w:w="115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版本、對象與期間</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使用同一核定問卷版本；載明課程、適用對象及調查期間。</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版本／核定依據：[待補]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告知、同意與個資</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說明目的及自願性；僅收必要資料；分析副本去識別，拒答與未回分開記錄。</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告知／同意及去識別位置：[待補]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樣本分母與回收</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核對適用母體 N、邀請數、有效 n、重複及排除理由；回收率以 n/N 計。</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名冊／回收／排除紀錄：[待補]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感受、行動、績效分開</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問卷感受、課後行動與客觀組織績效分開呈現；不得單憑滿意度推論因果或績效。</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分析欄位及限制：[待補]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行動計畫追蹤</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僅列實際約定的任務、負責人及期限；完成、未完成與不適用分開，完成需有實際佐證。</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計畫／追蹤／佐證：[待補]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缺漏與限制</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記錄未回、無效、失配及無法觀察；說明資料不足與可能偏差，不以空白推定零或完成。</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限制及排除說明：[待補]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來源及覆核</w:t>
            </w:r>
          </w:p>
        </w:tc>
        <w:tc>
          <w:tcPr>
            <w:tcW w:type="dxa" w:w="43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標示原始檔名、版本、頁次／欄位、保管位置與覆核日期；只引用實際取得資料。</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來源索引／覆核紀錄：[待補]</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pPr>
    </w:p>
    <w:p>
      <w:pPr>
        <w:pStyle w:val="Heading2"/>
        <w:keepNext/>
      </w:pPr>
      <w:r>
        <w:rPr>
          <w:rFonts w:ascii="Microsoft JhengHei" w:hAnsi="Microsoft JhengHei" w:eastAsia="Microsoft JhengHei"/>
          <w:b/>
          <w:color w:val="245A81"/>
          <w:sz w:val="24"/>
        </w:rPr>
        <w:t>資料歸檔清單</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歸檔資料</w:t>
            </w:r>
          </w:p>
        </w:tc>
        <w:tc>
          <w:tcPr>
            <w:tcW w:type="dxa" w:w="45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最低必要內容</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位置／狀態</w:t>
            </w:r>
          </w:p>
        </w:tc>
        <w:tc>
          <w:tcPr>
            <w:tcW w:type="dxa" w:w="115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核定問卷、告知文字及版本紀錄</w:t>
            </w:r>
          </w:p>
        </w:tc>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核定版、適用對象、期間、修訂依據</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□收錄 □待補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回收統計與去識別分析資料</w:t>
            </w:r>
          </w:p>
        </w:tc>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N、邀請數、有效 n、排除紀錄、資料字典</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□收錄 □待補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課後行動計畫及追蹤佐證</w:t>
            </w:r>
          </w:p>
        </w:tc>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實際任務、期限、完成狀態及原始佐證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□收錄 □待補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組織績效原始資料（如採用）</w:t>
            </w:r>
          </w:p>
        </w:tc>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指標定義、基準期／追蹤期、計算底稿及來源</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[待取得／不適用待核]</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□收錄 □待補</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定稿報告及覆核紀錄</w:t>
            </w:r>
          </w:p>
        </w:tc>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報告版次、承辦／覆核、限制與核定依據</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[待完成]</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□收錄 □待補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訓練績效改善調查與課後行動評估表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