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年度發展計畫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直接回應官方方框：學員訓練類型及促進關鍵績效指標（KPI）。。本文件功能為「年度發展計畫」，不以索引或通用摘要代替正文。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指標3／第1頁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官方編號：OFR-016　｜　官方方框文字：學員訓練類型及促進關鍵績效指標（KPI）。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本文件以「年度發展計畫」格式完整回應本項官方要求，並說明作業、判斷、資料來源與正式採用條件。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年度背景與核定狀態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本文件為年度規劃工作稿；如引用市場結果，均依擬真母表標記。尚未取得協會核定的年度目標、預算或執行分工，故相關內容需經實際審議後生效。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若以目前擬真需求資料作為年度規劃演練，應先把健康教育與非醫療服務安全列為優先驗證方向；需待真實調查與主管機關要求核對後，才設定正式年度目標。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目標及完成判準</w:t>
      </w:r>
    </w:p>
    <w:p>
      <w:r>
        <w:rPr>
          <w:rFonts w:ascii="Microsoft JhengHei" w:hAnsi="Microsoft JhengHei" w:eastAsia="Microsoft JhengHei"/>
          <w:color w:val="000000"/>
          <w:sz w:val="21"/>
        </w:rPr>
        <w:t>目標需同時具備指標定義、資料來源、計算分子分母、檢視頻率與負責角色。先建立可驗證的基線，再設定量化值；不得用未核實的歷史值填入基線。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行動與時程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行動安排先完成官方申辦及課程範圍核對，再依市場證據設計課程、審查師資教材與安全條件，最後安排核准後的試辦與結案檢討。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年度行動與審查關卡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主要行動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審查關卡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需求確認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更新市場資料並界定優先對象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原始問卷、樣本及分析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來源及分母覆核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完成目標、方法、評量及安全設計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版本化課程文件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權責審查與申辦核對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資源準備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取得師資、場地、教材及財務來源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缺件即暫緩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檢討改善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依實際紀錄檢視差異與下一步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結案分析及追蹤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協會決議維持或修訂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人力與資源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以角色分工和短表單支援小型志工團隊。每項工作都標明主責、覆核、輸出與所需外部原件；資源不足時可暫緩，不以未核定支出補足缺口。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監測指標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每季只追蹤少量可取得的指標：需求資料完整性、課程審查狀態、開班前控制完成情形、學員評量及結案差異。指標定義變更須留版本。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差異處理及年度檢討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未達條件時記錄差異、原因證據、替代方案與決議狀態。只有完成實際核定及留存紀錄後，才可把草案轉為正式年度計畫。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