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標準作業程序書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直接回應官方方框：訓練結果的評估、訓練實施的依據及標準化作業流程（SOP）。。本文件功能為「標準作業程序書」，不以索引或通用摘要代替正文。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OFR-022-D02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官方編號：OFR-022　｜　官方方框文字：訓練結果的評估、訓練實施的依據及標準化作業流程（SOP）。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本文件以「標準作業程序書」格式完整回應本項官方要求，並說明作業、判斷、資料來源與正式採用條件。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目的與適用範圍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本程序將官方項目轉為可執行步驟，並明確起始條件、交接、判斷與輸出。正式使用前由協會確認權責、時限、表單及核定版本。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角色責任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承辦人依實際分工蒐集輸入資料；覆核者檢查完整性與來源；需要協會決定或外部核准時，將流程停在核定關卡，不預設已通過。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輸入與起始條件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流程開始前需有明確需求或事件、適用版本與資料來源。若缺少申辦文件、原始紀錄或必要核定，標記待補並通知權責角色。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步驟及判斷分支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先登錄，再核對來源，接著進行實質審查、計算或決策；經核定的內容才發布或執行；執行後收回紀錄並完成檢討。每一步都形成可查證的輸出。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作業步驟與判斷點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判斷／退回條件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 受理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確認需求、適用指標與期限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資料不完整則列待補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受理登錄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 蒐證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定位原始資料與保管者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僅網址或摘要則標待取得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來源清單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 編製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依專屬文件結構完成內容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擬真值須對回母表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工作稿與計算表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 覆核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檢查來源、個資、公式及版本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差異未解則退回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 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提交實際權責審議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未核定不得發布／執行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核定或待核定狀態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 執行與歸檔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依核定版本使用並收回紀錄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異常啟動事件處理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正式紀錄及檢討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關鍵控制點包含來源真偽、分子分母、日期範圍、非醫療界線、個資最小化、版本與簽核狀態。未完成控制者不得標示為正式完成。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異常處理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遇到資料缺漏、數字不一致、設備異常、申請未核准或第三方未回覆時，先保存現況、暫停相關宣稱，記錄處理與責任期限，再由權責者判定後續。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輸出及紀錄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完成後保存核定文件、原始來源、版本、附件與覆核痕跡。第三方原件另存原檔，不以轉述摘要替代。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查核指標與修訂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每次執行記錄開始與完成時間、待補項、退回原因及結果。年度或重大變更時由協會檢討流程是否適用並留修訂紀錄。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OFR-022-D02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