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color w:val="145B64"/>
          <w:sz w:val="22"/>
        </w:rPr>
        <w:t>執行評估與統計分析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44"/>
        </w:rPr>
        <w:t>訓練執行評估指標分析及相關統計分析</w:t>
      </w:r>
    </w:p>
    <w:p>
      <w:pPr>
        <w:spacing w:before="0" w:after="16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0646A"/>
          <w:sz w:val="24"/>
        </w:rPr>
        <w:t>資料品質、樣本流向與學習評估結果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45B64"/>
          <w:left w:val="single" w:sz="8" w:space="0" w:color="145B64"/>
          <w:bottom w:val="single" w:sz="8" w:space="0" w:color="145B64"/>
          <w:right w:val="single" w:sz="8" w:space="0" w:color="145B64"/>
          <w:insideH w:val="single" w:sz="8" w:space="0" w:color="145B64"/>
          <w:insideV w:val="single" w:sz="8" w:space="0" w:color="145B64"/>
        </w:tblBorders>
      </w:tblPr>
      <w:tblGrid>
        <w:gridCol w:w="2232"/>
        <w:gridCol w:w="7848"/>
      </w:tblGrid>
      <w:tr>
        <w:trPr>
          <w:cantSplit/>
        </w:trPr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官方來源</w:t>
              <w:br/>
              <w:t>要求原文</w:t>
            </w:r>
          </w:p>
        </w:tc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E8F2F1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E414A"/>
                <w:sz w:val="20"/>
              </w:rPr>
              <w:t>訓練執行評估指標分析及相關統計分析。</w:t>
            </w:r>
          </w:p>
        </w:tc>
      </w:tr>
      <w:tr>
        <w:trPr>
          <w:cantSplit/>
        </w:trPr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核對位置</w:t>
            </w:r>
          </w:p>
        </w:tc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官方查核佐證表第 15 項，頁 5。此框為官方要求；下方合成案例另行標示。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7C997"/>
          <w:left w:val="single" w:sz="6" w:space="0" w:color="E7C997"/>
          <w:bottom w:val="single" w:sz="6" w:space="0" w:color="E7C997"/>
          <w:right w:val="single" w:sz="6" w:space="0" w:color="E7C997"/>
          <w:insideH w:val="single" w:sz="6" w:space="0" w:color="E7C997"/>
          <w:insideV w:val="single" w:sz="6" w:space="0" w:color="E7C997"/>
        </w:tblBorders>
      </w:tblPr>
      <w:tblGrid>
        <w:gridCol w:w="10080"/>
      </w:tblGrid>
      <w:tr>
        <w:trPr>
          <w:cantSplit/>
        </w:trPr>
        <w:tc>
          <w:tcPr>
            <w:tcW w:type="dxa" w:w="10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4E5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75450E"/>
                <w:sz w:val="20"/>
              </w:rPr>
              <w:t>案例狀態：以下批次、日期、角色、樣本與數值皆為 SAMPLE／SYNTHETIC 完整演算示例，不代表任何機構的真實辦訓或績效。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800"/>
        <w:gridCol w:w="828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快速導覽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本報告怎麼用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用途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呈現訓練執行評估資料如何蒐集、清理、計算及判讀。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讀者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承辦人逐次登錄與分析；主管依分母、缺失及覆核紀錄追溯。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使用時點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一次訓練完成、評估資料收件截止後。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操作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核對接觸名冊 → 標記同意與收件 → 去重及處理缺失 → 計算指標 → 覆核。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輸出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逐筆流向、有效率、配對測驗摘要、滿意度摘要、限制及真實資料替換清單。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閱讀摘要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接觸人數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曾回覆人數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回收件數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有效件數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排除件數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</w:tr>
    </w:tbl>
    <w:p>
      <w:pPr>
        <w:spacing w:after="20"/>
      </w:pP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示例批次共有 6 位受邀聯絡對象，5 位至少回覆一次；收回 6 份表單，其中 1 份為重複件、1 份因後測缺漏排除，留下 4 份有效配對資料。有效率為 4/6 = 66.7%。有效配對資料的前測平均 62.5 分、後測平均 77.5 分，平均配對差 15.0 分；滿意度平均 4.0/5 分。以上只示範統計口徑。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本件範圍</w:t>
      </w: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本報告處理執行評估指標、資料流向及統計計算。完整結案報告中的資源、財務與整體檢討，以及訓後改善建議的追蹤，仍須由各自的紀錄呈現；本分析不代替那些資料。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一、執行目的、母體與採計規則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目的：讓每一個評估結果都能回到明確的接觸母體、回收紀錄、納入判定與計算分母。統計單位同時分成「人」與「表單」，避免重複提交造成分母混用。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示例設定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示例課程／班次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溝通協作實務班（示例）／示例班次一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示例訓練期間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2026-09-01 至 2026-09-02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抽樣框與方法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課程聯絡清冊（合成示例，共 6 位）；對示例清冊全數邀請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接觸與蒐集期間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2026-09-01 至 2026-09-04；資料截點 2026-09-04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示例工具尺度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前後測 0–100 分；滿意度 1–5 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納入規則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須在範圍內、留有同意、每人僅保留一份，且前後測與滿意度欄位完整。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執行步驟與控制點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584"/>
        <w:gridCol w:w="1584"/>
        <w:gridCol w:w="3960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階段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責任角色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控制點與輸出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1. 建立母體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以核准班級名冊逐一建立聯絡列；固定資料截點。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邀請總數與名冊逐列核對。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2. 聯絡與告知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記錄接觸日期、管道及同意狀態；未回覆不得推定同意。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未同意或未回覆者不納入分析。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3. 收件登錄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每份原始提交均留收件時間；同人多件先保留軌跡。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表單件數與回覆人數分開計。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4. 清理與判定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按同意、完整性、配對與去重規則逐件判定；缺失原樣保留。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排除原因可追溯，不補造資料。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5. 分析與覆核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承辦角色／覆核角色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列出分子、分母、公式及四捨五入；覆核者獨立重算。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交付彙總、限制與異常處理軌跡。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樣本流向與分母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448"/>
        <w:gridCol w:w="1512"/>
        <w:gridCol w:w="612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流向階段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件數／人數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口徑說明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聯絡／邀請對象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去重後的人數；本例全數邀請。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至少回覆一次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人數口徑；另有 1 位截至截點未回覆。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原始回收表單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件數口徑；包含同一人較晚提交的重複件。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 份完整、同意且去重後的配對資料。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份重複件 + 1 份後測缺漏件。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回收數在有效率公式中指原始提交表單件數；同一人重複件仍屬已回收表單，之後在有效判定中排除。回覆率則以獨立回覆人數除以聯絡人數。若改採去重後表單作分母，必須另列口徑與數值，不可混用。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二、完整合成批次逐筆紀錄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7C997"/>
          <w:left w:val="single" w:sz="6" w:space="0" w:color="E7C997"/>
          <w:bottom w:val="single" w:sz="6" w:space="0" w:color="E7C997"/>
          <w:right w:val="single" w:sz="6" w:space="0" w:color="E7C997"/>
          <w:insideH w:val="single" w:sz="6" w:space="0" w:color="E7C997"/>
          <w:insideV w:val="single" w:sz="6" w:space="0" w:color="E7C997"/>
        </w:tblBorders>
      </w:tblPr>
      <w:tblGrid>
        <w:gridCol w:w="10080"/>
      </w:tblGrid>
      <w:tr>
        <w:trPr>
          <w:cantSplit/>
        </w:trPr>
        <w:tc>
          <w:tcPr>
            <w:tcW w:type="dxa" w:w="10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4E5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75450E"/>
                <w:sz w:val="20"/>
              </w:rPr>
              <w:t>逐筆案例均為合成紀錄。代稱不對應真人；此表已完整示範接觸、回收、有效、排除、缺失及重複流向。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461"/>
        <w:gridCol w:w="778"/>
        <w:gridCol w:w="1325"/>
        <w:gridCol w:w="1037"/>
        <w:gridCol w:w="763"/>
        <w:gridCol w:w="691"/>
        <w:gridCol w:w="2102"/>
        <w:gridCol w:w="2923"/>
      </w:tblGrid>
      <w:tr>
        <w:trPr>
          <w:tblHeader w:val="true"/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序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代稱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接觸／回收日期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管道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同意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原始件數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判定及理由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缺失、重複或更正軌跡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學員A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保留首次完整回覆。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另有一份後續重複件，詳紀錄 3。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2026-09-03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排除重複件</w:t>
              <w:br/>
              <w:t>同一人較晚提交的重複表單。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對照紀錄 2；保留 2026-09-02 首份，後件不重複計算。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學員C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排除不完整件</w:t>
              <w:br/>
              <w:t>後測未填，無法計算配對差值。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前測有值；後測缺失；不補造數值。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學員E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學員F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未提交（截至 2026-09-04）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未回覆／未取得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0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未回收，不納入</w:t>
              <w:br/>
              <w:t>截至示例截點未收到回覆。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無表單可檢查；不得推定同意或評分。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登錄規則：先逐件保存原始件數，再以去重代稱及納入規則產生分析欄；若更正，保留更正前值、修正值、原因、處理人與時間。此示例沒有修補缺失值，也沒有抄錄重複件的測驗內容。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三、評估資料與統計分析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前後測差值定義為「後測分數 − 前測分數」。有效配對樣本須同時有前後測；滿意度平均只計入同一批有效表單。平均數四捨五入至小數一位。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584"/>
        <w:gridCol w:w="1181"/>
        <w:gridCol w:w="1181"/>
        <w:gridCol w:w="1152"/>
        <w:gridCol w:w="1238"/>
        <w:gridCol w:w="374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代稱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前測</w:t>
              <w:br/>
              <w:t>0–100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後測</w:t>
              <w:br/>
              <w:t>0–100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配對差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滿意度</w:t>
              <w:br/>
              <w:t>1–5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學員A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80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+20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75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+20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學員B（重複件）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不採錄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不採錄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重複件，排除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學員C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80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+10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未填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後測缺失，排除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學員E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75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+10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學員F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未回覆，無資料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670"/>
        <w:gridCol w:w="1296"/>
        <w:gridCol w:w="835"/>
        <w:gridCol w:w="2952"/>
        <w:gridCol w:w="3326"/>
      </w:tblGrid>
      <w:tr>
        <w:trPr>
          <w:tblHeader w:val="true"/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指標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分子／總分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分母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公式與結果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解讀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獨立回覆率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 ÷ 6 × 100% = 83.3%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以人為單位；5 位曾回覆／6 位聯絡。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有效率（官方列示口徑）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 ÷ 6 × 100% = 66.7%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以原始回收表單件數為分母；重複件列入回收數、於有效判定排除。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 ÷ 6 × 100% = 33.3%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 件排除：1 件重複、1 件缺後測。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重複件率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÷ 6 × 100% = 16.7%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不完整件率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÷ 6 × 100% = 16.7%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前測平均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250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250 ÷ 4 = 62.5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有效配對樣本；範圍 55–70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後測平均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310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310 ÷ 4 = 77.5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與前測相同 4 份配對資料；範圍 75–80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平均配對差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(20+20+10+10) ÷ 4 = 15.0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個人差值範圍 10–20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滿意度平均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16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16 ÷ 4 = 4.0/5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僅為有效表單之示例平均；範圍 3–5 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結果判讀與限制</w:t>
      </w:r>
    </w:p>
    <w:p>
      <w:pPr>
        <w:spacing w:before="0" w:after="6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在這組合成配對資料中，4 份有效資料的平均後測比平均前測高 15.0 分；四人的個別差值介於 10 至 20 分，滿意度平均 4.0/5 分。這些是描述統計，不能單獨證明訓練造成改變。</w:t>
      </w: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限制：樣本僅 4 份且為合成值；有 1 位未回覆、1 份重複、1 份後測缺漏。未回覆與缺測可能使有效樣本偏離原聯絡母體；未設對照組，亦未追蹤訓後工作應用。因此不作母體推論、不比較其他班次，也不宣稱機構績效。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四、資料品質、保管與覆核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656"/>
        <w:gridCol w:w="842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品質項目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本例處理與追溯方式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學員B於 2026-09-03 的後續提交與前一日表單重複；保留先件、排除後件，原始件數仍記 2。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缺漏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學員D後測未填；保留缺值，不推估、不以平均補值，排除配對分析。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偏差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位未回覆；採自願回覆與小樣本示例，結果可能受未回覆及缺測影響。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更正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示例無更正；真實作業須保留原值、新值、原因、處理角色、時間及覆核軌跡。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保管、權限與去識別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真實執行時，僅蒐集完成評估所需欄位；分析檔以代稱呈現，直接識別資訊與分析資料分開保存，依實際核准的角色權限及保存期限管理。此示例不設定任何機構的真實系統、保存年限或存取權限。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覆核、異常升級與後續交接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示例覆核紀錄：覆核角色於 2026-09-05 重新核算有效率及平均值，表列結果與逐筆資料一致。真實異常若影響分母、有效判定或結論，承辦角色應暫停發布、記錄差異，交主管依核定程序決定修正或補充說明；修訂後重算並保留版本軌跡。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016"/>
        <w:gridCol w:w="8064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交接角色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交付與核對內容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承辦角色交付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去識別逐筆資料、原始回收件數、有效／排除判定、分子分母及缺失清單。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覆核角色核對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抽查原始來源與代稱、重算率及平均數、確認期間／尺度／缺失處理與報告一致。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主管決定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確認是否可發布、是否需補件或重算；限於資料支持範圍內採用結果。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REAL 資料替換與查核清單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要把示例轉為真實報告，逐項以原始資料替換並重新計算；未取得原件前，保留 SAMPLE／SYNTHETIC 標示，不得將此例當成機構實績。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以正式課程核准資料、班次、實際日期與真實聯絡母體替換示例名稱、日期及人數。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以邀請／接觸清冊、回覆時間戳、同意紀錄及原始問卷替換所有逐筆狀態。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以正式前後測原始資料及滿意度工具替換示例量尺與分數；重算每一個分子、分母、平均與比例。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逐件核對重複、缺失、排除與更正；保留原因、處理軌跡及可回查的正式證據位置。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補入實際承辦／覆核角色、核准權限、保存期限及真實覆核紀錄；如需第三方原件，僅收取可核對的合法原件。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來源位置與版本索引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800"/>
        <w:gridCol w:w="828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查核項目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本報告中的證據位置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官方要求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官方查核佐證表，第 15 項、頁 5；首頁來源框逐字列示要求。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樣本流向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第二節流向表；第三節完整逐筆表；排除理由及分母均可回查。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分析資料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第四節配對資料表與公式表；公式分子、分母及四捨五入方式明列。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覆核與替換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第五節品質處理、覆核及 REAL 資料替換清單。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35" w:right="907" w:bottom="835" w:left="90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17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訓練執行評估指標分析及相關統計分析</dc:title>
  <dc:subject>執行評估、樣本流向與統計分析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