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 w:eastAsia="Microsoft JhengHei"/>
          <w:b/>
          <w:i w:val="0"/>
          <w:color w:val="183A4A"/>
          <w:sz w:val="46"/>
        </w:rPr>
        <w:t>訓後成果追蹤調查表</w:t>
      </w:r>
    </w:p>
    <w:p>
      <w:pPr>
        <w:spacing w:after="160"/>
        <w:jc w:val="center"/>
      </w:pPr>
      <w:r>
        <w:rPr>
          <w:rFonts w:ascii="Arial" w:hAnsi="Arial" w:eastAsia="Microsoft JhengHei"/>
          <w:b w:val="0"/>
          <w:i w:val="0"/>
          <w:color w:val="19767B"/>
          <w:sz w:val="24"/>
        </w:rPr>
        <w:t>回收訓後應用情形，整理可追蹤的改善行動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FFF4D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資料狀態｜完整 SAMPLE/SYNTHETIC 示範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本文件所有課程、日期、角色、回覆、分數、比例、分析及建議均為合成示例，不是協會或任何機構的實績。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本示範已填入完整問卷答案、計算及追蹤建議；第9節另列 REAL 資料替換區。未取得原始紀錄前，不得把示範列改稱真實資料。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30秒使用卡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65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835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操作說明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目的</w:t>
            </w:r>
          </w:p>
        </w:tc>
        <w:tc>
          <w:tcPr>
            <w:tcW w:type="dxa" w:w="835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記錄結訓後的課程滿意度、工作關聯、所學使用情形、自評變化與改善需求。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讀者</w:t>
            </w:r>
          </w:p>
        </w:tc>
        <w:tc>
          <w:tcPr>
            <w:tcW w:type="dxa" w:w="835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主管與決策者閱讀結果；課程承辦人依題目邀請回覆、檢查分母並彙整。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時點</w:t>
            </w:r>
          </w:p>
        </w:tc>
        <w:tc>
          <w:tcPr>
            <w:tcW w:type="dxa" w:w="835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本例於結訓後30日追蹤；可依真實班次安排調整。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操作</w:t>
            </w:r>
          </w:p>
        </w:tc>
        <w:tc>
          <w:tcPr>
            <w:tcW w:type="dxa" w:w="835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依第3節題目收集回覆 → 依第2節規則檢查有效性 → 依第5節公式計算 → 依第7節安排責任與追蹤。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輸出</w:t>
            </w:r>
          </w:p>
        </w:tc>
        <w:tc>
          <w:tcPr>
            <w:tcW w:type="dxa" w:w="835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可重算的回覆表、分母及公式、證據限制、改善建議、責任角色、期限與追蹤指標。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ED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官方佐證依據｜指標17d 成果評估｜I17D-E01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文件：TTQS查核佐證文件資料表（訓練機構版），第6頁。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官方佐證文字：「訓後調查表。」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本文件直接回應此項佐證：第3節提供題目與量尺，第4至6節展示回覆、計算與分析，第7至9節連結證據、建議及真實替換。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範圍界線：本表記錄訓後調查及自陳分析；不代替 I17C-E05「神秘客實地稽核（外部稽核）課後機制等」，也不代替 I17D-E02「就業及考照追蹤紀錄」。三者需各自使用可核對的原始資料。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1　追蹤流程與分析範圍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每個步驟都留下可回查的分母、回覆狀態與資料來源。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　操作步驟與控制點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1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步驟</w:t>
            </w:r>
          </w:p>
        </w:tc>
        <w:tc>
          <w:tcPr>
            <w:tcW w:type="dxa" w:w="453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承辦操作</w:t>
            </w:r>
          </w:p>
        </w:tc>
        <w:tc>
          <w:tcPr>
            <w:tcW w:type="dxa" w:w="396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檢查點與輸出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確認對象</w:t>
            </w:r>
          </w:p>
        </w:tc>
        <w:tc>
          <w:tcPr>
            <w:tcW w:type="dxa" w:w="45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依正式班次名冊確認可聯繫且符合追蹤條件的對象；記錄母數及排除原因。</w:t>
            </w:r>
          </w:p>
        </w:tc>
        <w:tc>
          <w:tcPr>
            <w:tcW w:type="dxa" w:w="396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母數有名冊來源；排除條件先定義，不以回覆內容決定。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發出問卷</w:t>
            </w:r>
          </w:p>
        </w:tc>
        <w:tc>
          <w:tcPr>
            <w:tcW w:type="dxa" w:w="45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本例於2026-05-03以電子郵件寄送示範問卷發送，2026-05-07提醒，2026-05-10截止。</w:t>
            </w:r>
          </w:p>
        </w:tc>
        <w:tc>
          <w:tcPr>
            <w:tcW w:type="dxa" w:w="396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留存寄送／提醒紀錄與問卷版本；本例日期均為合成資料。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檢查有效性</w:t>
            </w:r>
          </w:p>
        </w:tc>
        <w:tc>
          <w:tcPr>
            <w:tcW w:type="dxa" w:w="45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必答分數題完整且能辨識所屬班次者，納入相應題目的有效分母；未回覆列為未回覆。</w:t>
            </w:r>
          </w:p>
        </w:tc>
        <w:tc>
          <w:tcPr>
            <w:tcW w:type="dxa" w:w="396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逐題記錄有效回答數；缺答不得補猜，也不將未回覆算成負向。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計算與分析</w:t>
            </w:r>
          </w:p>
        </w:tc>
        <w:tc>
          <w:tcPr>
            <w:tcW w:type="dxa" w:w="45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按第5節公式彙整回收率、平均分、正向率與分組差異；只描述資料支持的結果。</w:t>
            </w:r>
          </w:p>
        </w:tc>
        <w:tc>
          <w:tcPr>
            <w:tcW w:type="dxa" w:w="396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保留原始分數、分母、四捨五入及資料限制。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決定改善</w:t>
            </w:r>
          </w:p>
        </w:tc>
        <w:tc>
          <w:tcPr>
            <w:tcW w:type="dxa" w:w="45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把發現連到證據、責任角色、期限及下一次追蹤指標。</w:t>
            </w:r>
          </w:p>
        </w:tc>
        <w:tc>
          <w:tcPr>
            <w:tcW w:type="dxa" w:w="396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建議、核准及完成分開記錄；沒有真實核准或執行證據時不得填成已完成。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表2　資料欄位—定義—分母—來源—限制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欄位／指標</w:t>
            </w:r>
          </w:p>
        </w:tc>
        <w:tc>
          <w:tcPr>
            <w:tcW w:type="dxa" w:w="252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定義與單位</w:t>
            </w:r>
          </w:p>
        </w:tc>
        <w:tc>
          <w:tcPr>
            <w:tcW w:type="dxa" w:w="144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分母</w:t>
            </w:r>
          </w:p>
        </w:tc>
        <w:tc>
          <w:tcPr>
            <w:tcW w:type="dxa" w:w="194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來源</w:t>
            </w:r>
          </w:p>
        </w:tc>
        <w:tc>
          <w:tcPr>
            <w:tcW w:type="dxa" w:w="252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限制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可回覆對象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符合班次追蹤條件的母數，人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不適用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真實班級名冊；本例為示範母數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須說明排除條件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有效回覆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必答分數欄完整並可歸屬班次的問卷，份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不適用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原始問卷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開放題缺答可保留，但須另標示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回收率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有效回覆÷可回覆對象，%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可回覆對象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名冊與回覆紀錄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不代表未回覆者意見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平均分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有效分數總和÷有效回答數，分／5分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該題有效分數數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原始問卷該題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不填補缺漏；保留有效數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正向率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4至5分人數÷該題有效回答數，%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該題有效回答數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原始問卷該題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4至5分門檻依本表量尺定義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Q3使用頻率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近30日自述使用頻次，1至5分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Q3有效回答數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學員自陳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不是獨立工作績效證明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Q4自評變化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目前自評減訓前回溯自評，分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具成對回答人數</w:t>
            </w:r>
          </w:p>
        </w:tc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同一受訪者Q4前後分數</w:t>
            </w:r>
          </w:p>
        </w:tc>
        <w:tc>
          <w:tcPr>
            <w:tcW w:type="dxa" w:w="252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回溯自評易受記憶影響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本例納入規則：示範可回覆對象5人；完成必答分數題者為有效回覆。未回覆者不進入分數分母。開放題按原意歸類，歸類只用於提出待驗證的改善方向。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2　問卷題目與作答規則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這組題目可直接作為調查表；先固定題目版本，再比較不同波次。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表3　訓後成果追蹤問卷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81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題號與題目</w:t>
            </w:r>
          </w:p>
        </w:tc>
        <w:tc>
          <w:tcPr>
            <w:tcW w:type="dxa" w:w="410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作答方式／選項</w:t>
            </w:r>
          </w:p>
        </w:tc>
        <w:tc>
          <w:tcPr>
            <w:tcW w:type="dxa" w:w="208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分析用途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　整體而言，您對本次課程的滿意程度為何？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單選1至5分：1非常不滿意、2不滿意、3普通、4滿意、5非常滿意。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整體滿意平均與4至5分正向率。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Q2　課程內容與您目前工作任務的關聯程度為何？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單選1至5分：1完全無關、2較無關、3普通、4相關、5非常相關。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工作關聯平均與正向率。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　近30日您使用課程所學做法的頻率為何？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單選1至5分：1未使用、2使用1次、3使用2至3次、4每週約1次、5每週3次以上。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所學使用頻率；4至5分列為正向使用。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Q4　針對課程所教的表單檢核能力，請分別評估訓前與目前的把握程度。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兩格各填1至5分：1完全沒把握、2較沒把握、3普通、4有把握、5非常有把握。訓前為回溯自評。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目前分數減訓前回溯分數；只表示自我感受變化。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Q5　請描述一項訓後應用例子：工作情境、您採取的動作，以及觀察到的結果。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開放題；可寫明「尚無可量化資料」。只有自述時明確標示，另列附件名稱或代碼（如有）。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追蹤行為及結果例子；不把自述改寫成客觀證明。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Q6　最有幫助的內容是什麼？最需要改善或希望獲得什麼支援？</w:t>
            </w:r>
          </w:p>
        </w:tc>
        <w:tc>
          <w:tcPr>
            <w:tcW w:type="dxa" w:w="41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開放題；分開寫有幫助處、障礙及建議。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整理需求與可採取的課程改善方向。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EAF3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作答與資料保護提示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同一波次使用相同題目、選項和回覆期間；若題目改版，另註版本並避免直接混算。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開放回答先去識別，再呈現必要內容；只記錄與分析目的相關的工作情境，不收集不必要的個人或機密資料。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若需核對工作成果，另取得合法、可核對的原始證據；不得代製雇主文件、簽章、證書或第三方紀錄。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3　完整示範資料與回覆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下列資料全部為 SAMPLE/SYNTHETIC；數字及敘述只供示範如何重算。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表4　示範追蹤批次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81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示範內容</w:t>
            </w:r>
          </w:p>
        </w:tc>
        <w:tc>
          <w:tcPr>
            <w:tcW w:type="dxa" w:w="44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口徑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課程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數位表單整理實作班（示範）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合成課程名稱；不是機構正式班次。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課程日期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2026-04-10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結訓日；本例於結訓後30日追蹤。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邀請與回收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5人可回覆；4份有效問卷；另有1位未回覆。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只作示範計算，分母為可回覆對象。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寄送與期限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2026-05-03寄送；2026-05-07提醒；2026-05-10截止。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合成日期；不得視為實際寄送紀錄。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示範分析日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2026-05-13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只標示示範計算日期，不代表核定或覆核。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資料性質</w:t>
            </w:r>
          </w:p>
        </w:tc>
        <w:tc>
          <w:tcPr>
            <w:tcW w:type="dxa" w:w="381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去識別學員角色、自陳答案及合成彙整值。</w:t>
            </w:r>
          </w:p>
        </w:tc>
        <w:tc>
          <w:tcPr>
            <w:tcW w:type="dxa" w:w="44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沒有附真實問卷、工作文件或第三方原件。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表5　完整分數回覆（每列均為一份合成回覆）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08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165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示範組別</w:t>
            </w:r>
          </w:p>
        </w:tc>
        <w:tc>
          <w:tcPr>
            <w:tcW w:type="dxa" w:w="108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Q1滿意</w:t>
            </w:r>
          </w:p>
        </w:tc>
        <w:tc>
          <w:tcPr>
            <w:tcW w:type="dxa" w:w="108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Q2關聯</w:t>
            </w:r>
          </w:p>
        </w:tc>
        <w:tc>
          <w:tcPr>
            <w:tcW w:type="dxa" w:w="108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Q3使用</w:t>
            </w:r>
          </w:p>
        </w:tc>
        <w:tc>
          <w:tcPr>
            <w:tcW w:type="dxa" w:w="40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Q4訓前→目前（差）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學員A</w:t>
            </w:r>
          </w:p>
        </w:tc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示範組別甲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5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 → 4（+2）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學員B</w:t>
            </w:r>
          </w:p>
        </w:tc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示範組別甲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 → 4（+1）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學員C</w:t>
            </w:r>
          </w:p>
        </w:tc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示範組別乙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 → 4（+1）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學員D</w:t>
            </w:r>
          </w:p>
        </w:tc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示範組別乙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 → 3（+0）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學員E</w:t>
            </w:r>
          </w:p>
        </w:tc>
        <w:tc>
          <w:tcPr>
            <w:tcW w:type="dxa" w:w="165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—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—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—</w:t>
            </w:r>
          </w:p>
        </w:tc>
        <w:tc>
          <w:tcPr>
            <w:tcW w:type="dxa" w:w="108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—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期限內無回覆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量尺均為1至5分。Q3的4或5分表示近30日每週約一次以上；Q4差值為目前自評減訓前回溯自評。學員E只用來呈現回收分母，不臆測其答案。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4　應用例子與改善需求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開放題保留自述性質；未附原始工作件時，不列為獨立驗證成果。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表6　工作情境、行為、觀察結果及所需支援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037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67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Q5　訓後應用例子</w:t>
            </w:r>
          </w:p>
        </w:tc>
        <w:tc>
          <w:tcPr>
            <w:tcW w:type="dxa" w:w="367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Q6　有幫助內容／改善需求</w:t>
            </w:r>
          </w:p>
        </w:tc>
        <w:tc>
          <w:tcPr>
            <w:tcW w:type="dxa" w:w="1627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證據狀態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學員A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以欄位檢核清單整理請購表，送出前依欄位順序逐項檢查；未保存前後版本或錯誤數，屬學員自述。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最有幫助的是欄位順序示範；希望有共用檢核清單與空白練習檔。</w:t>
            </w:r>
          </w:p>
        </w:tc>
        <w:tc>
          <w:tcPr>
            <w:tcW w:type="dxa" w:w="162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學員自述；本例未附工作原件，未獨立驗證。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學員B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更新排班表時依範例檢查日期格式；公式設定仍需練習，未提供量化成果或外部佐證。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最有幫助的是操作範例；希望增加公式錯誤判讀的練習。</w:t>
            </w:r>
          </w:p>
        </w:tc>
        <w:tc>
          <w:tcPr>
            <w:tcW w:type="dxa" w:w="162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學員自述；本例未附工作原件，未獨立驗證。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學員C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每週整理報表時依欄位清單檢查；自述曾在自我檢查時發現一個重複列，未附原表且未獨立驗證。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欄位清單可協助檢查；希望另有一頁式快速提醒。</w:t>
            </w:r>
          </w:p>
        </w:tc>
        <w:tc>
          <w:tcPr>
            <w:tcW w:type="dxa" w:w="162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學員自述；本例未附工作原件，未獨立驗證。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學員D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近30日未遇到可套用的工作任務，因此沒有實際使用；未宣稱能力已有工作成果。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教材示例看得懂，但因未遇實作工作尚不能判斷最有幫助的部分；希望安排安全練習情境。</w:t>
            </w:r>
          </w:p>
        </w:tc>
        <w:tc>
          <w:tcPr>
            <w:tcW w:type="dxa" w:w="1627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學員自述；本例未附工作原件，未獨立驗證。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FFF4D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如何處理「可驗證例子」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本例的學員A至D只提供合成的自述；學員C提及自我檢查時看到一個重複列，但沒有原表可核對，因此不能寫成已證實的錯誤下降或工作改善。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實際作業若有合法取得的工作樣本，記錄附件名稱或代碼、來源、日期及授權情形；若沒有，保留「自述」標記並說明證據限制。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5　彙總結果與逐步計算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回收率以可回覆對象為分母；題目平均與正向率使用該題有效回答數。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表7　計算字典與示範結果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5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指標</w:t>
            </w:r>
          </w:p>
        </w:tc>
        <w:tc>
          <w:tcPr>
            <w:tcW w:type="dxa" w:w="367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原始值與公式</w:t>
            </w:r>
          </w:p>
        </w:tc>
        <w:tc>
          <w:tcPr>
            <w:tcW w:type="dxa" w:w="144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331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解讀限制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回收率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有效回覆4 ÷ 可回覆對象5 × 100%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80.0%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未回覆者未納入意見；不能推定其答案。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Q1平均分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(5+4+4+3) ÷ 4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4.00／5分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合成自陳分數，不是機構績效。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Q1正向率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4至5分3人 ÷ 有效回答4人 × 100%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75.0%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門檻按本問卷定義。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Q2平均分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(4+4+3+4) ÷ 4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3.75／5分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衡量自述工作關聯，不是工作成果核證。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Q2正向率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4至5分3人 ÷ 有效回答4人 × 100%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75.0%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須與題目及有效分母一起呈現。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Q3使用頻率平均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(4+3+4+1) ÷ 4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3.00／5分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自陳近30日使用頻率。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Q3正向使用率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4至5分2人 ÷ 有效回答4人 × 100%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50.0%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不能推論客觀生產力或錯誤率。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Q4自評變化</w:t>
            </w:r>
          </w:p>
        </w:tc>
        <w:tc>
          <w:tcPr>
            <w:tcW w:type="dxa" w:w="367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[(4−2)+(4−3)+(4−3)+(3−3)] ÷ 4</w:t>
            </w:r>
          </w:p>
        </w:tc>
        <w:tc>
          <w:tcPr>
            <w:tcW w:type="dxa" w:w="144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+1.00分</w:t>
            </w:r>
          </w:p>
        </w:tc>
        <w:tc>
          <w:tcPr>
            <w:tcW w:type="dxa" w:w="331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訓前分數為回溯自評，可能受記憶偏差影響。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抽算：回收率=4÷5=80.0%；Q1總分16÷4=4.00分；Q1正向率3÷4=75.0%；Q3正向率2÷4=50.0%；Q4差值總和+4÷4=+1.00分。公式可由表5逐列重算。</w:t>
      </w: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四捨五入：比例保留1位小數；平均分保留2位小數（分組表保留1位）。先用未四捨五入值計算差異。某題無有效答案時，該題列N/A並說明分母為0，不以0分代替。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6　分組差異、趨勢與優先差距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組別僅是合成示範；每組樣本很小，只能作描述比較。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表8　分組比較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37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比較欄位</w:t>
            </w:r>
          </w:p>
        </w:tc>
        <w:tc>
          <w:tcPr>
            <w:tcW w:type="dxa" w:w="230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示範組別甲</w:t>
            </w:r>
          </w:p>
        </w:tc>
        <w:tc>
          <w:tcPr>
            <w:tcW w:type="dxa" w:w="230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示範組別乙</w:t>
            </w:r>
          </w:p>
        </w:tc>
        <w:tc>
          <w:tcPr>
            <w:tcW w:type="dxa" w:w="302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差異（甲−乙）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有效回答數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2份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2份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各組樣本小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Q1平均分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4.5／5分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3.5／5分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1.0分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Q1正向率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2/2 = 100%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1/2 = 50%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50個百分點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Q3正向使用率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1/2 = 50%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1/2 = 50%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0個百分點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Q4平均自評變化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+1.5分</w:t>
            </w:r>
          </w:p>
        </w:tc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+0.5分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1.0分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表9　差距排序與證據強度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觀察</w:t>
            </w:r>
          </w:p>
        </w:tc>
        <w:tc>
          <w:tcPr>
            <w:tcW w:type="dxa" w:w="316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依據與計算</w:t>
            </w:r>
          </w:p>
        </w:tc>
        <w:tc>
          <w:tcPr>
            <w:tcW w:type="dxa" w:w="273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證據強度／限制</w:t>
            </w:r>
          </w:p>
        </w:tc>
        <w:tc>
          <w:tcPr>
            <w:tcW w:type="dxa" w:w="2376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優先處理方向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滿意度高於使用頻率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Q1正向率75.0%−Q3正向使用率50.0%=25個百分點。</w:t>
            </w:r>
          </w:p>
        </w:tc>
        <w:tc>
          <w:tcPr>
            <w:tcW w:type="dxa" w:w="27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低：四份自陳回覆；不同指標不代表因果。</w:t>
            </w:r>
          </w:p>
        </w:tc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加入實作練習；下一波保持相同Q3題目。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組別乙自評變化較小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示範組別甲+1.5分、乙+0.5分；差1.0分。</w:t>
            </w:r>
          </w:p>
        </w:tc>
        <w:tc>
          <w:tcPr>
            <w:tcW w:type="dxa" w:w="27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低：每組僅2份；組別是假設標籤，不可解讀為真實部門差距。</w:t>
            </w:r>
          </w:p>
        </w:tc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先檢查情境是否有練習機會，不據此對個人或部門排名。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操作支援需求重複出現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學員A、B各自提到清單、練習檔、範例或公式練習；合計2/4份開放題回覆。</w:t>
            </w:r>
          </w:p>
        </w:tc>
        <w:tc>
          <w:tcPr>
            <w:tcW w:type="dxa" w:w="27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低：合成文字、人工歸類；主題需用真實資料覆核。</w:t>
            </w:r>
          </w:p>
        </w:tc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提供一頁清單與公式錯誤練習，作為可檢驗的改善建議。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趨勢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N/A：只有一個追蹤波次</w:t>
            </w:r>
          </w:p>
        </w:tc>
        <w:tc>
          <w:tcPr>
            <w:tcW w:type="dxa" w:w="273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無第二個以上波次，無法判斷持續上升或下降。</w:t>
            </w:r>
          </w:p>
        </w:tc>
        <w:tc>
          <w:tcPr>
            <w:tcW w:type="dxa" w:w="2376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下一波沿用題目、量尺和追蹤間隔，另行比較。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解讀：組間差距及主題只提出可檢驗的問題，不作因果或群體實績結論。若真實分組不可靠、分母太小或可能識別個人，應合併呈現或不做分組。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7　結論、建議與追蹤責任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把每項建議連到資料、責任角色、日期及可重算指標。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FFF4D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示範結論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本例Q1正向率75.0%，高於Q3正向使用率50.0%達25個百分點；可先補充操作演練與清單，再於下一追蹤波次核對使用情形。此結論只描述四份合成自陳答案。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證據強度：低。依據只有四份合成自陳回覆，沒有獨立工作紀錄；本段不表示協會或任何機構已有訓後成果。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表10　結論—證據—建議—責任—追蹤指標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230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發現／證據</w:t>
            </w:r>
          </w:p>
        </w:tc>
        <w:tc>
          <w:tcPr>
            <w:tcW w:type="dxa" w:w="302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建議與依據</w:t>
            </w:r>
          </w:p>
        </w:tc>
        <w:tc>
          <w:tcPr>
            <w:tcW w:type="dxa" w:w="15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責任及期限</w:t>
            </w:r>
          </w:p>
        </w:tc>
        <w:tc>
          <w:tcPr>
            <w:tcW w:type="dxa" w:w="208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追蹤指標／判定</w:t>
            </w:r>
          </w:p>
        </w:tc>
        <w:tc>
          <w:tcPr>
            <w:tcW w:type="dxa" w:w="100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目前狀態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Q3正向使用率50.0%；Q1正向率75.0%；差25個百分點。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下一班增加表單欄位檢核演練，並提供一頁式清單及公式錯誤練習。</w:t>
            </w:r>
          </w:p>
        </w:tc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課程承辦角色甲；建議期限2026-05-20。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Q3正向使用率至少75%；有效回答至少4份有效回覆。下一次示範追蹤日2026-06-09。</w:t>
            </w:r>
          </w:p>
        </w:tc>
        <w:tc>
          <w:tcPr>
            <w:tcW w:type="dxa" w:w="10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尚未執行；僅為示範建議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Q5、Q6自述指出練習及快速參考需求；沒有獨立文件。</w:t>
            </w:r>
          </w:p>
        </w:tc>
        <w:tc>
          <w:tcPr>
            <w:tcW w:type="dxa" w:w="302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實際採用前由課程負責者確認演練內容與學員工作情境相符；不要將自述改寫為客觀成效。</w:t>
            </w:r>
          </w:p>
        </w:tc>
        <w:tc>
          <w:tcPr>
            <w:tcW w:type="dxa" w:w="15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衡量角色：資料覆核角色乙。</w:t>
            </w:r>
          </w:p>
        </w:tc>
        <w:tc>
          <w:tcPr>
            <w:tcW w:type="dxa" w:w="208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使用相同Q3題目、4至5分門檻與有效分母規則；另列回收率及限制。</w:t>
            </w:r>
          </w:p>
        </w:tc>
        <w:tc>
          <w:tcPr>
            <w:tcW w:type="dxa" w:w="10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示範追蹤安排，未表示已執行。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表11　追蹤時程與輸出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94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節點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範例日期／時點</w:t>
            </w:r>
          </w:p>
        </w:tc>
        <w:tc>
          <w:tcPr>
            <w:tcW w:type="dxa" w:w="1800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負責角色</w:t>
            </w:r>
          </w:p>
        </w:tc>
        <w:tc>
          <w:tcPr>
            <w:tcW w:type="dxa" w:w="40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需留下的紀錄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形成建議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2026-05-13</w:t>
            </w:r>
          </w:p>
        </w:tc>
        <w:tc>
          <w:tcPr>
            <w:tcW w:type="dxa" w:w="180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課程承辦角色甲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分析表、分母、公式、證據強度與建議；本例合成。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完成改善準備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2026-05-20</w:t>
            </w:r>
          </w:p>
        </w:tc>
        <w:tc>
          <w:tcPr>
            <w:tcW w:type="dxa" w:w="180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課程承辦角色甲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真實決定、演練材料版本及可核對的準備紀錄；未有前不得標示完成。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再次追蹤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2026-06-09（結訓後60日）</w:t>
            </w:r>
          </w:p>
        </w:tc>
        <w:tc>
          <w:tcPr>
            <w:tcW w:type="dxa" w:w="180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資料覆核角色乙</w:t>
            </w:r>
          </w:p>
        </w:tc>
        <w:tc>
          <w:tcPr>
            <w:tcW w:type="dxa" w:w="40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同版Q3回覆、有效分母、正向率、回收率及差異；依核定目標判定。</w:t>
            </w:r>
          </w:p>
        </w:tc>
      </w:tr>
    </w:tbl>
    <w:p>
      <w:pPr>
        <w:spacing w:after="20"/>
      </w:pP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建議、正式決定與實際執行是不同狀態。只有取得真實核定或執行紀錄後，才更新為已核准或已完成；本例沒有模擬簽名、核准或第三方回覆。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8　REAL 資料替換區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保留此區給可核對的機構紀錄；先取得原始來源，再替換 SAMPLE/SYNTHETIC 範例。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shd w:fill="FFF4D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/>
            <w:r>
              <w:rPr>
                <w:rFonts w:ascii="Arial" w:hAnsi="Arial" w:eastAsia="Microsoft JhengHei"/>
                <w:b/>
                <w:i w:val="0"/>
                <w:color w:val="183A4A"/>
                <w:sz w:val="22"/>
              </w:rPr>
              <w:t>使用規則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本文件不是空白表；第3至7節已有完整示範。轉成 REAL 紀錄時，須以真實來源逐欄替換示範班次與四份示範回覆，並重新計算結果。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Microsoft JhengHei"/>
                <w:b w:val="0"/>
                <w:i w:val="0"/>
                <w:color w:val="20292E"/>
                <w:sz w:val="22"/>
              </w:rPr>
              <w:t>尚無原始資料的欄位不得沿用示範值或推測填答；在下表記錄缺少項目及取得方式，完成後再形成 REAL 分析。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表12　REAL 替換與覆核清單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需替換欄位</w:t>
            </w:r>
          </w:p>
        </w:tc>
        <w:tc>
          <w:tcPr>
            <w:tcW w:type="dxa" w:w="460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可接受的核對來源</w:t>
            </w:r>
          </w:p>
        </w:tc>
        <w:tc>
          <w:tcPr>
            <w:tcW w:type="dxa" w:w="316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替換後記錄／來源識別碼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正式班次、課程名稱與日期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正式課程核准資料、課程紀錄或結訓紀錄。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實際填寫並記錄來源識別碼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可回覆對象及排除理由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實際班級名冊、發送對象紀錄及明確納入條件。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實際填寫並逐項核對母數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寄送、提醒、截止與回覆時間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可回查的發送／回收紀錄及問卷版本。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實際填寫；未發生的提醒不得補記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題目答案、有效性與分母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原始問卷或可追溯的受控資料匯出。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逐題記錄有效數、缺答及排除理由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應用例子與佐證位置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學員原始自述；若採用工作文件，須有合法來源及核對位置。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自述與獨立佐證分開標示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改善決定、責任及期限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真實決策／核准紀錄及實際承辦分工。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記錄真實決定者、日期與可查位置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追蹤結果與目標判定</w:t>
            </w:r>
          </w:p>
        </w:tc>
        <w:tc>
          <w:tcPr>
            <w:tcW w:type="dxa" w:w="460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下一波原始問卷、有效分母及核定指標。</w:t>
            </w:r>
          </w:p>
        </w:tc>
        <w:tc>
          <w:tcPr>
            <w:tcW w:type="dxa" w:w="316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重算公式並註明目標版本與判定依據</w:t>
            </w:r>
          </w:p>
        </w:tc>
      </w:tr>
    </w:tbl>
    <w:p>
      <w:pPr>
        <w:spacing w:after="20"/>
      </w:pP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9　資料覆核與附件索引</w:t>
      </w:r>
    </w:p>
    <w:p>
      <w:pPr>
        <w:pStyle w:val="ListBullet"/>
        <w:spacing w:after="60" w:line="264" w:lineRule="auto"/>
        <w:ind w:left="360" w:hanging="230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覆核分母：名冊人數、寄送對象、有效回答數與未回覆數互相核對。</w:t>
      </w:r>
    </w:p>
    <w:p>
      <w:pPr>
        <w:pStyle w:val="ListBullet"/>
        <w:spacing w:after="60" w:line="264" w:lineRule="auto"/>
        <w:ind w:left="360" w:hanging="230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覆核計算：抽算Q1、Q3及Q4；保留原始分數、公式、比例精度及N/A條件。</w:t>
      </w:r>
    </w:p>
    <w:p>
      <w:pPr>
        <w:pStyle w:val="ListBullet"/>
        <w:spacing w:after="60" w:line="264" w:lineRule="auto"/>
        <w:ind w:left="360" w:hanging="230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覆核證據：區分學員自述、內部紀錄及外部原件；不以問卷回答冒充第三方證明。</w:t>
      </w:r>
    </w:p>
    <w:p>
      <w:pPr>
        <w:pStyle w:val="ListBullet"/>
        <w:spacing w:after="60" w:line="264" w:lineRule="auto"/>
        <w:ind w:left="360" w:hanging="230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附件索引：實際使用時列出問卷版本、名冊來源、回覆資料、合法附件及決策紀錄的真實識別碼。</w:t>
      </w: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本示範沒有真實附件，也沒有機構核定或簽章。待轉為 REAL 作業時，由實際承辦人及覆核者按正式紀錄完成；不得以示範角色代替真人簽署。</w:t>
      </w:r>
    </w:p>
    <w:p>
      <w:r>
        <w:br w:type="page"/>
      </w:r>
    </w:p>
    <w:p>
      <w:pPr>
        <w:keepNext/>
        <w:spacing w:before="40" w:after="100"/>
      </w:pPr>
      <w:r>
        <w:rPr>
          <w:rFonts w:ascii="Arial" w:hAnsi="Arial" w:eastAsia="Microsoft JhengHei"/>
          <w:b/>
          <w:i w:val="0"/>
          <w:color w:val="183A4A"/>
          <w:sz w:val="30"/>
        </w:rPr>
        <w:t>附錄　SAMPLE/SYNTHETIC 事實替換鍵索引</w:t>
      </w:r>
    </w:p>
    <w:p>
      <w:pPr>
        <w:keepNext/>
        <w:spacing w:after="120"/>
      </w:pPr>
      <w:r>
        <w:rPr>
          <w:rFonts w:ascii="Arial" w:hAnsi="Arial" w:eastAsia="Microsoft JhengHei"/>
          <w:b w:val="0"/>
          <w:i w:val="0"/>
          <w:color w:val="52636B"/>
          <w:sz w:val="22"/>
        </w:rPr>
        <w:t>每個示範數值、角色、日期、回答、分析結果、決議及責任均有唯一替換鍵。</w:t>
      </w:r>
    </w:p>
    <w:p>
      <w:pPr>
        <w:spacing w:before="0" w:after="80" w:line="269" w:lineRule="auto"/>
      </w:pPr>
      <w:r>
        <w:rPr>
          <w:rFonts w:ascii="Arial" w:hAnsi="Arial" w:eastAsia="Microsoft JhengHei"/>
          <w:b w:val="0"/>
          <w:i w:val="0"/>
          <w:color w:val="20292E"/>
          <w:sz w:val="22"/>
        </w:rPr>
        <w:t>索引提供文件章節及欄位定位；正式使用時，依鍵逐項替換本例資料，並保存真實來源、計算依據、生效日期及替換方式。</w:t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表13　合成事實鍵索引（1–22）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替換鍵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3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文件定位</w:t>
            </w:r>
          </w:p>
        </w:tc>
        <w:tc>
          <w:tcPr>
            <w:tcW w:type="dxa" w:w="26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真實替換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sample.course_title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sample.training_date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sample.invitation_date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第2節表1；第4節表3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sample.reminder_date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第2節表1；第4節表3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sample.survey_close_date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首頁樣本概覽；第2節表1；第4節表3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sample.analysis_date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第5至8節示範分析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sample.distribution_method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第2節表1；第4節表3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sample.followup_interval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首頁使用卡；第2節表1；第4節表3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0087-F009-E1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sample.invited_count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首頁樣本概覽；第2節表2；第4節表3；第5節表5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sample.valid_response_count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首頁樣本概覽；第2節表2；第4節表3；第5節表5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sample.nonresponse_count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首頁樣本概覽；第4節表3；第5節表5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sample.nonrespondent_role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sample.nonrespondent_status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第4節表3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第4節表4、表5（學員A）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respondent_A.sample_group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第4節表4（學員A）；第6節表7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respondent_A.q1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respondent_A.q2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respondent_A.q3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0087-F019-E1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respondent_A.pre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respondent_A.now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第4節表4（學員A）；第5節表5／表6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respondent_A.confidence_change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respondent_A.application_example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第4節表5（學員A）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表13　合成事實鍵索引（23–44）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替換鍵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3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文件定位</w:t>
            </w:r>
          </w:p>
        </w:tc>
        <w:tc>
          <w:tcPr>
            <w:tcW w:type="dxa" w:w="26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真實替換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respondent_A.helpful_and_improvement_need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第4節表5（學員A）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第4節表4、表5（學員B）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respondent_B.sample_group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第4節表4（學員B）；第6節表7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respondent_B.q1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respondent_B.q2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respondent_B.q3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0087-F029-E1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respondent_B.pre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respondent_B.now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第4節表4（學員B）；第5節表5／表6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respondent_B.confidence_change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respondent_B.application_example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第4節表5（學員B）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respondent_B.helpful_and_improvement_need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第4節表5（學員B）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第4節表4、表5（學員C）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respondent_C.sample_group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第4節表4（學員C）；第6節表7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respondent_C.q1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respondent_C.q2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respondent_C.q3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0087-F039-E1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respondent_C.pre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respondent_C.now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第4節表4（學員C）；第5節表5／表6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respondent_C.confidence_change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respondent_C.application_example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第4節表5（學員C）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respondent_C.helpful_and_improvement_need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第4節表5（學員C）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第4節表4、表5（學員D）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表13　合成事實鍵索引（45–66）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替換鍵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3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文件定位</w:t>
            </w:r>
          </w:p>
        </w:tc>
        <w:tc>
          <w:tcPr>
            <w:tcW w:type="dxa" w:w="26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真實替換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respondent_D.sample_group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第4節表4（學員D）；第6節表7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respondent_D.q1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respondent_D.q2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respondent_D.q3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0087-F049-E1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respondent_D.pre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respondent_D.now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第4節表4（學員D）；第5節表5／表6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respondent_D.confidence_change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第4節表4；第5節表5／表6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respondent_D.application_example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第4節表5（學員D）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respondent_D.helpful_and_improvement_need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第4節表5（學員D）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analysis.response_rate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第5節表6／回收率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analysis.q1_total_mean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第5節表6／整體滿意平均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analysis.q1_positive_rate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第5節表6／Q1正向率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analysis.q2_total_mean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第5節表6／工作關聯平均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analysis.q2_positive_rate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第5節表6／Q2正向率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0087-F059-E1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analysis.q3_mean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第5節表6／使用頻率平均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analysis.q3_positive_rate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第5節表6／正向使用率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analysis.confidence_change_mean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第5節表6／自評變化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analysis.group_A.n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第6節表7／示範組別甲／n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analysis.group_A.q1_mean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第6節表7／示範組別甲／q1_mean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analysis.group_A.q1_positive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第6節表7／示範組別甲／q1_positive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analysis.group_A.q3_positive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第6節表7／示範組別甲／q3_positive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analysis.group_A.delta_mean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第6節表7／示範組別甲／delta_mean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表13　合成事實鍵索引（67–88）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替換鍵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3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文件定位</w:t>
            </w:r>
          </w:p>
        </w:tc>
        <w:tc>
          <w:tcPr>
            <w:tcW w:type="dxa" w:w="26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真實替換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analysis.group_B.n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第6節表7／示範組別乙／n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analysis.group_B.q1_mean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第6節表7／示範組別乙／q1_mean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0087-F069-E1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analysis.group_B.q1_positive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第6節表7／示範組別乙／q1_positive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analysis.group_B.q3_positive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第6節表7／示範組別乙／q3_positive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analysis.group_B.delta_mean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第6節表7／示範組別乙／delta_mean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analysis.satisfaction_use_gap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第6節表8／滿意與使用差距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analysis.group_q1_mean_difference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第6節表7／Q1組間差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analysis.group_q1_positive_difference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第6節表7／Q1正向率組間差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analysis.group_q3_positive_difference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第6節表7／Q3正向率組間差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analysis.group_confidence_change_difference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第6節表7／自評變化組間差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analysis.support_theme_count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第6節表8／操作支援主題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analysis.trend_status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第6節趨勢限制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0087-F079-E1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analysis.evidence_strength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第7節表9／證據強度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0087-F080-E1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action.owner_role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0087-F081-E1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action.measurement_owner_role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0087-F082-E1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action.recommendation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0087-F083-E1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action.proposed_due_date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0087-F084-E1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action.followup_target_rate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0087-F085-E1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action.minimum_valid_answers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0087-F086-E1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action.proposed_followup_date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0087-F087-E1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action.proposed_followup_interval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0087-F088-E1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action.status_in_sample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第7節表9；第8節表10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80" w:after="60"/>
      </w:pPr>
      <w:r>
        <w:rPr>
          <w:rFonts w:ascii="Arial" w:hAnsi="Arial" w:eastAsia="Microsoft JhengHei"/>
          <w:b/>
          <w:i w:val="0"/>
          <w:color w:val="19767B"/>
          <w:sz w:val="22"/>
        </w:rPr>
        <w:t>表13　合成事實鍵索引（89–89）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28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替換鍵</w:t>
            </w:r>
          </w:p>
        </w:tc>
        <w:tc>
          <w:tcPr>
            <w:tcW w:type="dxa" w:w="2232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338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文件定位</w:t>
            </w:r>
          </w:p>
        </w:tc>
        <w:tc>
          <w:tcPr>
            <w:tcW w:type="dxa" w:w="2664"/>
            <w:shd w:fill="183A4A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20"/>
              </w:rPr>
              <w:t>真實替換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EDF3F8"/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0087-F089-E1</w:t>
            </w:r>
          </w:p>
        </w:tc>
        <w:tc>
          <w:tcPr>
            <w:tcW w:type="dxa" w:w="223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analysis.conclusion</w:t>
            </w:r>
          </w:p>
        </w:tc>
        <w:tc>
          <w:tcPr>
            <w:tcW w:type="dxa" w:w="338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第7節結論</w:t>
            </w:r>
          </w:p>
        </w:tc>
        <w:tc>
          <w:tcPr>
            <w:tcW w:type="dxa" w:w="266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92E"/>
                <w:sz w:val="20"/>
              </w:rPr>
              <w:t>依真實原始紀錄替換；詳見對應欄位的替換方式。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Arial" w:hAnsi="Arial" w:eastAsia="Microsoft JhengHei"/>
        <w:b w:val="0"/>
        <w:i w:val="0"/>
        <w:color w:val="20292E"/>
        <w:sz w:val="22"/>
      </w:rPr>
      <w:t xml:space="preserve">SAMPLE/SYNTHETIC 示範資料　•　</w:t>
    </w:r>
    <w:r>
      <w:rPr>
        <w:rFonts w:ascii="Arial" w:hAnsi="Arial" w:eastAsia="Microsoft JhengHei"/>
        <w:b w:val="0"/>
        <w:i w:val="0"/>
        <w:color w:val="20292E"/>
        <w:sz w:val="22"/>
      </w:rPr>
      <w:t xml:space="preserve">第 </w:t>
    </w:r>
    <w:fldSimple w:instr="PAGE"/>
    <w:r>
      <w:rPr>
        <w:rFonts w:ascii="Arial" w:hAnsi="Arial" w:eastAsia="Microsoft JhengHei"/>
        <w:b w:val="0"/>
        <w:i w:val="0"/>
        <w:color w:val="20292E"/>
        <w:sz w:val="22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  <w:jc w:val="right"/>
    </w:pPr>
    <w:r>
      <w:rPr>
        <w:rFonts w:ascii="Arial" w:hAnsi="Arial" w:eastAsia="Microsoft JhengHei"/>
        <w:b w:val="0"/>
        <w:i w:val="0"/>
        <w:color w:val="20292E"/>
        <w:sz w:val="22"/>
      </w:rPr>
      <w:t>訓後成果追蹤調查表　|　完整示範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Microsoft JhengHei"/>
      <w:color w:val="2029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8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976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83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83A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訓後成果追蹤調查表</dc:title>
  <dc:subject>SAMPLE/SYNTHETIC 完整示範及 REAL 資料替換區</dc:subject>
  <dc:creator>TTQS ONE</dc:creator>
  <cp:keywords>訓後調查, 訓後成果追蹤, SAMPLE/SYNTHETIC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