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相關文件能記錄近年來對於課程之評估、採購、簽_制度文件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文件編號：TTQS-0047｜版本：1.0｜狀態：示範資料｜非本會實際紀錄｜修訂日期：2026-10-04｜生效日期：未生效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本報告用來檢視課程評估、採購、簽約與履約後管理是否留下可追溯的檢討及改善紀錄。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主要使用者是課程承辦人；管理權責角色核對計算結果並決定改善追蹤。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每次完成課程履約檢討後，或彙整年度課程資料準備改善決策時使用本報告。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依資料字典核對原始文件，重算評分與履約檢核率，再按差距表確認改善責任與期限。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本報告產出可重算的趨勢摘要、待補證據項目、建議責任角色及追蹤指標。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摘要、用途與決策問題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官方要求是相關文件能記錄近年來對於課程之評估、採購、簽約與後續管理作業的檢討及改善。本報告用同一分析口徑串起課程需求與評估標準、選擇理由、採購及簽約紀錄、履約檢查與改善追蹤。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報告中的年度、分數、比率、判讀和責任期限均為示範資料｜非本會實際紀錄，不代表任何機構曾經辦訓、採購、簽約或完成改善。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決策問題一：評估標準是否在選擇資源前訂定並留有版本可查。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決策問題二：選擇理由能否由需求、候選資料、比較結果及核決紀錄重現。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決策問題三：履約後是否對照契約及課程目標檢查結果，並追蹤改善至結案。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本報告分析的是跨年度檢討及改善證據；它不取代單筆採購的程序文件，也不代替重大採購或師資聘任的會議審查紀錄。</w:t>
      </w:r>
    </w:p>
    <w:p>
      <w:pPr>
        <w:pStyle w:val="Heading2"/>
      </w:pPr>
      <w:r>
        <w:t>官方要求及分析範圍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官方要求原文：相關文件能記錄近年來對於課程之評估、採購、簽約與後續管理作業的檢討及改善。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官方原文依《TTQS查核佐證文件資料表－訓練機構版》指標10之第3頁讀回。本報告只分析從課程評估到履約後檢討改善的跨年度記錄連結，不推定未出示的機構活動或外部證明。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納入：選擇前訂定的課程需求及評估規準、可重現的採購選擇理由、簽署完成且可核對範圍的契約、履約檢查及改善追蹤紀錄。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排除：沒有原件可核實的真人、供應者、金額、簽章、核准、課程辦理成果及外部證明。</w:t>
      </w:r>
    </w:p>
    <w:p>
      <w:pPr>
        <w:pStyle w:val="Heading2"/>
      </w:pPr>
      <w:r>
        <w:t>資料來源、樣本與納入排除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本次可確認的官方依據為官方佐證文件資料表之精確讀回；沒有可用來證明本會實際課程採購及履約結果的案件原件，因此以下資料只用來示範計算方法。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示範範圍為兩個年度、每年度一筆合成課程案例；每筆以四項同口徑履約檢核為分母。示範資料只呈現評估分數、可追溯材料檢核數及由此計算的結果。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示範材料類型包括課程需求與事前評估規準、採購比較及選擇理由、已執行契約原件、履約檢查及改善追蹤；此清單說明真實資料應採用的原件種類，不表示目前持有這些案件附件。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不納入無法確認的報價金額、供應者名稱、簽約人姓名、出席、核准結果或課程成效。</w:t>
      </w:r>
    </w:p>
    <w:p>
      <w:pPr>
        <w:pStyle w:val="Heading2"/>
      </w:pPr>
      <w:r>
        <w:t>指標定義、分母與計算方法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加權總分依本報告採用的公式，以各項評分乘以該項權重後加總。每個示範年度使用相同四項準則及權重，分數採1至5分；權重合計為100%。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履約達成率＝已完成且可追溯的檢核項目數 ÷ 當年度應完成檢核項目數 × 100%。示範分母每年均為4；只有材料能連回同一課程與履約事項時才計為完成。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年度差異以後一年度減前一年度計算；跨年度總履約達成率以完成數總和除以應完成數總和，不直接平均年度百分比。分數四捨五入至小數二位，百分比至小數一位，百分點差異以未四捨五入的比例相減後表示。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使用的分數級距是示範判讀規則，並非官方門檻且尚未生效：加權總分低於3.00列優先補強；3.00至未滿4.00列需改善；達4.00但履約檢核未全數完成者仍列需改善，先補齊缺項再覆核；只有達4.00且四項檢核全完成才列達示範檢視門檻。</w:t>
      </w:r>
    </w:p>
    <w:p>
      <w:pPr>
        <w:pStyle w:val="Heading2"/>
      </w:pPr>
      <w:r>
        <w:t>完整示範資料及逐步計算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完整填入的兩筆示範資料、各準則評分、權重、履約檢核分子分母及逐步計算列於「年度案例明細與逐步計算」表。所有列均採示範資料｜非本會實際紀錄標示。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第一筆加權分數為4×25%＋4×25%＋3×25%＋2×25%＝3.25分；履約檢核率為3÷4×100%＝75.0%。第二筆為4×25%＋4×25%＋4×25%＋4×25%＝4.00分；履約檢核率為4÷4×100%＝100.0%。</w:t>
      </w:r>
    </w:p>
    <w:p>
      <w:pPr>
        <w:pStyle w:val="Heading2"/>
      </w:pPr>
      <w:r>
        <w:t>分群／趨勢／差異結果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在這組合成年度比較中，加權分數由3.25分升至4.00分，增加0.75分；履約檢核率由75.0%升至100.0%，增加25.0個百分點。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兩年度合併計算為7項完成、8項應完成，履約達成率87.5%；兩筆加權分數的算術平均為3.625分，顯示至小數二位為3.63分。由於合併履約率未達示範完整門檻，整體仍判為需改善。</w:t>
      </w:r>
    </w:p>
    <w:p>
      <w:pPr>
        <w:pStyle w:val="Heading2"/>
      </w:pPr>
      <w:r>
        <w:t>圖表解讀及品質限制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趨勢表顯示第二筆示範案例的四項評分均為4分，且四項履約材料檢核均完成；第一筆的履約後檢討改善檢核未完成，是兩筆差異的主要缺口。這只解讀示範表內的數值，不代表真實機構有改善趨勢。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樣本僅有兩筆合成案例，沒有案件母體清冊、原始文件、抽樣框或外部查證，因此不能外推年度整體表現、推論因果、比較供應者或估計課程成效。加權分數、權重與門檻須由真實制度及原始記錄確認後才可採用。</w:t>
      </w:r>
    </w:p>
    <w:p>
      <w:pPr>
        <w:pStyle w:val="Heading2"/>
      </w:pPr>
      <w:r>
        <w:t>發現、原因與證據強度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示範發現：第一筆案例的履約後檢討改善項未能完成可追溯檢核，故三項完成、四項應完成；第二筆案例四項均完成。示範差距呈現在履約檢討與改善閉環材料，而不是採購前兩項檢核。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原因尚不能由這組數值確定。改善追蹤欄位補齊與評分增加同時出現在示範資料中，不能據此宣稱前者造成後者。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證據強度只支持方法演練及表內算術核對；不支持機構實績、核准、簽章、採購合法性或第三方事實。</w:t>
      </w:r>
    </w:p>
    <w:p>
      <w:pPr>
        <w:pStyle w:val="Heading2"/>
      </w:pPr>
      <w:r>
        <w:t>結論與可執行建議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若以真實資料套用本報告，應能從同一課程識別資料依序找到選擇前的評估規準、選擇理由及核決、簽署契約、履約檢查、檢討結論、改善責任及結案證據；任一連結缺漏即列為待補證據，不以示範分數替代。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示範資料的首要改善方向是讓履約後檢討、改善責任、期限及結案證據可連回原契約與課程。所列分數和檢核結果只供展示分析方法，正式決策須由權責角色核對案件原件後作成。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選擇前保留課程需求、評估規準及形成日期，避免事後補寫成事前標準。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將採購比較、選擇理由及核決文件與同一課程識別資料連結，使選擇可以重現。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以已簽署契約及驗收依據核對履約；記錄偏差、檢討、改善責任、期限及結案材料。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每年度按同一定義重算分子、分母及加權分數，並在比較表揭露缺件及排除理由。</w:t>
      </w:r>
    </w:p>
    <w:p>
      <w:pPr>
        <w:pStyle w:val="Heading2"/>
      </w:pPr>
      <w:r>
        <w:t>責任人、期限與追蹤指標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下列責任角色及時限是供審議的示範安排，不表示本會已設置相同職務、已指派人員或已核定制度。正式採用前須由權責角色確認授權、分工及工作量。</w:t>
      </w:r>
    </w:p>
    <w:p>
      <w:pPr>
        <w:pStyle w:val="Heading2"/>
      </w:pPr>
      <w:r>
        <w:t>合成資料聲明及真實替換清單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本報告所有案例均為示範資料｜非本會實際紀錄。正式分析前，須逐筆以可驗證的真實案件原件替換示範期間、評分、檢核數、結果與判讀，並保留原件對應及覆核證據。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課程及評估：以核實過的課程計畫、需求資料、事前規準及評估表替換。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採購及選擇：以實際採購比較資料、選擇理由及授權核決原件替換。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簽約及履約：以正式簽署契約、驗收或履約檢查記錄替換；不得仿製簽章。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檢討及改善：以實際履約評估、改善負責角色、期限、複核及結案記錄替換。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評分、分母與比率：依真實案件母體及應檢項目清單重新評分與計算；無原件支持的項目不列為完成。</w:t>
      </w:r>
    </w:p>
    <w:p>
      <w:pPr>
        <w:pStyle w:val="Heading2"/>
      </w:pPr>
      <w:r>
        <w:t>附件索引、覆核與版本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官方要求定位：《TTQS查核佐證文件資料表－訓練機構版》，指標10，第3頁。此處只定位官方要求，不將其作為本會實際課程案件證明。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案件附件索引：本報告未附任何可證明本會實際課程評估、採購、契約或履約結果的案件原件；真實分析需由資料保管端逐件取得並核對原件。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覆核方式：由課程承辦角色核對資料與分母，由採購覆核角色核對選擇及契約鏈結，再由管理權責角色確認判讀與改善建議；本示範文本沒有實際覆核簽章或核准。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版本狀態為示範資料｜非本會實際紀錄；修訂日期為2026年10月4日；生效日期為未生效。</w:t>
      </w:r>
    </w:p>
    <w:p>
      <w:pPr>
        <w:pStyle w:val="Heading2"/>
      </w:pPr>
      <w:r>
        <w:t>資料欄位、定義、分母、來源及限制字典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分析欄位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定義及單位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分母或計算口徑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真實案件應核對的原件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限制及解讀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評估準則及分數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每項以1至5分評估需求適切、選擇理由可重現、契約及驗收清楚、履約後檢討改善可追蹤。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每筆案件四項；分數越高表示示範量尺定義下的證據品質越完整。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課程需求分析、事前評分規準及評估表。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量尺為示範設定，需經權責確認後才可用於真實決策。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評估權重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四項準則各占25%，合計100%。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加權總分＝各項評分×對應權重後加總。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經確認的課程評估辦法及已定版評估表。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不可把示範權重稱為現行制度。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選擇及契約檢核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核對選擇前規準、可重現的理由、契約範圍及簽署完成的契約是否可追溯至同一課程。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逐筆以有明確來源、可連結案件的材料判定完成或未完成。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採購比較及核決原件、正式簽署契約及驗收依據。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文件存在本身不等於程序適當，仍須覆核內容與授權。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履約追蹤完成數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已完成且可追溯的檢核項目數，項。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分子為完成數；每筆示範應完成數為4項。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履約檢查、課程評估、改善責任與結案記錄。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未能連回案件的材料不得計入分子。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履約達成率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當期完成檢核項目占應完成項目的百分比。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完成項目數÷應完成項目數×100%；應完成數為零時列不適用並說明。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案件母體清單與逐項履約檢核材料。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跨年度合併時加總分子及分母後再除，不平均年度百分比。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改善閉環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由檢討發現連到責任角色、期限、複核及結案證據的紀錄。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以有來源的改善項逐項追蹤；本示範未設定組織實績分母。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實際檢討紀錄、改善追蹤及結案核對原件。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不得只用口頭說明或示範欄位宣稱已改善。</w:t>
            </w:r>
          </w:p>
        </w:tc>
      </w:tr>
    </w:tbl>
    <w:p>
      <w:pPr>
        <w:spacing w:after="20"/>
      </w:pPr>
    </w:p>
    <w:p>
      <w:pPr>
        <w:pStyle w:val="Heading2"/>
      </w:pPr>
      <w:r>
        <w:t>年度案例明細與逐步計算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</w:tblGrid>
      <w:tr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需求與事前規準分數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選擇理由可重現分數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契約及驗收分數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履約檢討改善分數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四項權重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加權計算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加權總分／5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履約檢核完成／應完成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履約達成率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資料狀態</w:t>
            </w:r>
          </w:p>
        </w:tc>
      </w:tr>
      <w:tr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25%、25%、25%、25%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4×25%＋4×25%＋3×25%＋2×25%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75.0%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需改善；履約檢討改善項未完成可追溯檢核。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  <w:tr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25%、25%、25%、25%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4×25%＋4×25%＋4×25%＋4×25%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100.0%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達示範檢視門檻；四項履約材料均可追溯。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</w:tbl>
    <w:p>
      <w:pPr>
        <w:spacing w:after="20"/>
      </w:pPr>
    </w:p>
    <w:p>
      <w:pPr>
        <w:pStyle w:val="Heading2"/>
      </w:pPr>
      <w:r>
        <w:t>分群比較及差距優先排序矩陣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2024年度示範值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2025年度示範值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優先缺口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證據界線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增加0.75分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先補履約後檢討改善的可追溯材料。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僅是兩筆合成資料的計算結果。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履約檢核完成率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3／4＝75.0%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4／4＝100.0%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增加25.0個百分點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將改善責任、期限、複核及結案材料連回課程案件。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不得外推為機構年度實績或因果效果。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兩筆合併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完成3項／應完成4項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完成4項／應完成4項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完成7項／應完成8項＝87.5%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合併率未達示範完整門檻，仍列整體需改善。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分母一致但樣本僅兩筆合成案例。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兩筆平均加權分數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(3.25＋4.00)÷2＝3.625，顯示為3.63／5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取得真實案件母體後重新計算，不以示範平均作正式績效。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未作統計推論或顯著性判斷。</w:t>
            </w:r>
          </w:p>
        </w:tc>
      </w:tr>
    </w:tbl>
    <w:p>
      <w:pPr>
        <w:spacing w:after="20"/>
      </w:pPr>
    </w:p>
    <w:p>
      <w:pPr>
        <w:pStyle w:val="Heading2"/>
      </w:pPr>
      <w:r>
        <w:t>結論、證據、建議、責任與追蹤指標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結論或待改善事項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表內依據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建議行動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示範責任角色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示範期限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追蹤指標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第一筆案例的履約後檢討改善檢核未完成。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年度案例表：3／4項、75.0%；履約檢討改善分數2分。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補齊檢討發現、改善責任、期限、複核與結案材料間的連結。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示範安排為課程結束後30日內彙整。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四項履約材料可追溯完成率；缺件項目須列明原因。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選擇理由及契約須與同一課程資料連結。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資料字典的選擇及契約檢核欄位。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保存事前規準、比較結果、選擇核決、正式契約及驗收依據。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採購覆核角色。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選擇理由於採購承諾前完成；契約於履約開始前簽署。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抽核案件中選擇及契約材料完整可追溯的比例。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示範整體結果仍未達完整門檻。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合併率7／8＝87.5%；平均分數3.63／5。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下一輪以同一分母及已核定量尺重算，對缺項逐項追蹤。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管理權責角色。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示範安排為收齊資料後10個工作日內完成覆核。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完成項目數／應完成項目數、加權分數、未結改善項數。</w:t>
            </w:r>
          </w:p>
        </w:tc>
      </w:tr>
    </w:tbl>
    <w:p>
      <w:pPr>
        <w:spacing w:after="20"/>
      </w:pPr>
    </w:p>
    <w:p>
      <w:pPr>
        <w:pStyle w:val="Heading2"/>
      </w:pPr>
      <w:r>
        <w:t>官方要求、分析結果、證據位置及覆核追溯表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本報告對應結果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應取得的真實案件證據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本報告位置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以事前評估、選擇理由、契約與履約改善四個連續環節分析年度記錄；示範合併履約率為87.5%，仍列需改善。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課程計畫及需求資料、事前評估表、採購比較與核決原件、正式簽署契約、履約檢查及改善結案原件。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官方要求及分析範圍；資料字典；年度案例明細；分群比較；結論追蹤表。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官方原文可追溯至《TTQS查核佐證文件資料表－訓練機構版》第3頁；示範數值不得作為實際證據。</w:t>
            </w:r>
          </w:p>
        </w:tc>
      </w:tr>
    </w:tbl>
    <w:p>
      <w:pPr>
        <w:spacing w:after="20"/>
      </w:pPr>
    </w:p>
    <w:p>
      <w:pPr>
        <w:pStyle w:val="Heading2"/>
      </w:pPr>
      <w:r>
        <w:t>評量方式與判定</w:t>
      </w:r>
    </w:p>
    <w:p>
      <w:pPr>
        <w:pStyle w:val="Heading3"/>
      </w:pPr>
      <w:r>
        <w:t>判斷依據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評量項目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查核重點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選擇前課程需求與評估規準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需求、目標及評估規準在選擇前可追溯。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資源選擇理由可重現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能由候選比較、適用性及選擇理由重現決定脈絡。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採購、契約及驗收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採購核決、契約範圍、雙方簽署及驗收依據可核對。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履約後評估及改善追蹤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履約檢討能連結改善責任、期限、複核及結案材料。</w:t>
            </w:r>
          </w:p>
        </w:tc>
      </w:tr>
    </w:tbl>
    <w:p>
      <w:pPr>
        <w:spacing w:after="20"/>
      </w:pPr>
    </w:p>
    <w:p>
      <w:pPr>
        <w:pStyle w:val="Heading3"/>
      </w:pPr>
      <w:r>
        <w:t>評分量尺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未見可追溯材料。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材料零散，無法說明主要判斷。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有部分記錄，但前後關聯或檢討閉環不完整。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主要內容完整，能連結課程與決策並供覆核。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記錄完整、可重現，且改善結果有後續複核。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加權總分計算式：</w:t>
      </w:r>
      <w:r>
        <w:rPr>
          <w:rFonts w:ascii="Microsoft JhengHei" w:hAnsi="Microsoft JhengHei" w:eastAsia="Microsoft JhengHei"/>
          <w:b w:val="0"/>
          <w:sz w:val="22"/>
        </w:rPr>
        <w:t>加權總分＝Σ（各項評分×該項權重）；本示範四項權重合計100%。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履約達成率計算式：</w:t>
      </w:r>
      <w:r>
        <w:rPr>
          <w:rFonts w:ascii="Microsoft JhengHei" w:hAnsi="Microsoft JhengHei" w:eastAsia="Microsoft JhengHei"/>
          <w:b w:val="0"/>
          <w:sz w:val="22"/>
        </w:rPr>
        <w:t>履約達成率＝已完成且可追溯檢核項目數÷當期應完成檢核項目數×100%。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履約檢核項目：</w:t>
      </w:r>
      <w:r>
        <w:rPr>
          <w:rFonts w:ascii="Microsoft JhengHei" w:hAnsi="Microsoft JhengHei" w:eastAsia="Microsoft JhengHei"/>
          <w:b w:val="0"/>
          <w:sz w:val="22"/>
        </w:rPr>
        <w:t>選擇前需求與評估規準可追溯。、選擇理由及比較資料可重現。、正式契約範圍、簽署及驗收依據可核對。、履約後檢討、改善責任、期限及結案可追蹤。</w:t>
      </w:r>
    </w:p>
    <w:p>
      <w:pPr>
        <w:pStyle w:val="Heading3"/>
      </w:pPr>
      <w:r>
        <w:t>示範判讀門檻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判讀條件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判斷標準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加權分數低於3.00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優先補強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加權分數至少3.00但低於4.00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需改善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加權分數至少4.00但履約檢核未全數完成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仍列需改善；先補齊缺項，再由管理權責角色覆核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加權分數至少4.00且四項檢核全數完成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分母與排除原則：</w:t>
      </w:r>
      <w:r>
        <w:rPr>
          <w:rFonts w:ascii="Microsoft JhengHei" w:hAnsi="Microsoft JhengHei" w:eastAsia="Microsoft JhengHei"/>
          <w:b w:val="0"/>
          <w:sz w:val="22"/>
        </w:rPr>
        <w:t>每筆示範案例的應完成檢核數為4。缺少可追溯來源的檢核列不計入完成數；分母為零時不計算百分比，列為不適用並說明原因。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數值取位方式：</w:t>
      </w:r>
      <w:r>
        <w:rPr>
          <w:rFonts w:ascii="Microsoft JhengHei" w:hAnsi="Microsoft JhengHei" w:eastAsia="Microsoft JhengHei"/>
          <w:b w:val="0"/>
          <w:sz w:val="22"/>
        </w:rPr>
        <w:t>加權分數顯示至小數二位；百分比顯示至小數一位；百分點差異以未四捨五入的百分比相減。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4932</Words>
  <Characters>5692</Characters>
  <Application>Microsoft Macintosh Word</Application>
  <DocSecurity>0</DocSecurity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相關文件能記錄近年來對於課程之評估、採購、簽_制度文件</dc:title>
  <dc:subject>整理近年課程從需求評估、資源選擇、採購簽約到履約後檢討改善的證據口徑，提供資料覆核與改善決策使用；本文內案例僅為示範資料。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