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JhengHei" w:hAnsi="Microsoft JhengHei" w:eastAsia="Microsoft JhengHei"/>
          <w:b/>
          <w:color w:val="1F4E79"/>
          <w:sz w:val="40"/>
        </w:rPr>
        <w:t>相關文件能記錄近年來對於課程之評估、採購、簽_制度文件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文件編號：TTQS-0047｜版本：1.0｜狀態：示範資料｜非本會實際紀錄｜修訂日期：2026-10-04｜生效日期：未生效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本報告用來檢視課程評估、採購、簽約與履約後管理是否留下可追溯的檢討及改善紀錄。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主要使用者是課程承辦人；管理權責角色核對計算結果並決定改善追蹤。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每次完成課程履約檢討後，或彙整年度課程資料準備改善決策時使用本報告。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依資料字典核對原始文件，重算評分與履約檢核率，再按差距表確認改善責任與期限。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本報告產出可重算的趨勢摘要、待補證據項目、建議責任角色及追蹤指標。</w:t>
            </w:r>
          </w:p>
        </w:tc>
      </w:tr>
    </w:tbl>
    <w:p>
      <w:pPr>
        <w:spacing w:after="20"/>
      </w:pPr>
    </w:p>
    <w:p>
      <w:pPr>
        <w:pStyle w:val="Heading2"/>
      </w:pPr>
      <w: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相關文件能記錄近年來對於課程之評估、採購、簽約與後續管理作業的檢討及改善。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t>摘要、用途與決策問題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官方要求是相關文件能記錄近年來對於課程之評估、採購、簽約與後續管理作業的檢討及改善。本報告用同一分析口徑串起課程需求與評估標準、選擇理由、採購及簽約紀錄、履約檢查與改善追蹤。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報告中的年度、分數、比率、判讀和責任期限均為示範資料｜非本會實際紀錄，不代表任何機構曾經辦訓、採購、簽約或完成改善。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決策問題一：評估標準是否在選擇資源前訂定並留有版本可查。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決策問題二：選擇理由能否由需求、候選資料、比較結果及核決紀錄重現。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決策問題三：履約後是否對照契約及課程目標檢查結果，並追蹤改善至結案。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本報告分析的是跨年度檢討及改善證據；它不取代單筆採購的程序文件，也不代替重大採購或師資聘任的會議審查紀錄。</w:t>
      </w:r>
    </w:p>
    <w:p>
      <w:pPr>
        <w:pStyle w:val="Heading2"/>
      </w:pPr>
      <w:r>
        <w:t>官方要求及分析範圍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官方要求原文：相關文件能記錄近年來對於課程之評估、採購、簽約與後續管理作業的檢討及改善。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官方原文依《TTQS查核佐證文件資料表－訓練機構版》指標10之第3頁讀回。本報告只分析從課程評估到履約後檢討改善的跨年度記錄連結，不推定未出示的機構活動或外部證明。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納入：選擇前訂定的課程需求及評估規準、可重現的採購選擇理由、簽署完成且可核對範圍的契約、履約檢查及改善追蹤紀錄。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排除：沒有原件可核實的真人、供應者、金額、簽章、核准、課程辦理成果及外部證明。</w:t>
      </w:r>
    </w:p>
    <w:p>
      <w:pPr>
        <w:pStyle w:val="Heading2"/>
      </w:pPr>
      <w:r>
        <w:t>資料來源、樣本與納入排除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本次可確認的官方依據為官方佐證文件資料表之精確讀回；沒有可用來證明本會實際課程採購及履約結果的案件原件，因此以下資料只用來示範計算方法。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示範範圍為兩個年度、每年度一筆合成課程案例；每筆以四項同口徑履約檢核為分母。示範資料只呈現評估分數、可追溯材料檢核數及由此計算的結果。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示範材料類型包括課程需求與事前評估規準、採購比較及選擇理由、已執行契約原件、履約檢查及改善追蹤；此清單說明真實資料應採用的原件種類，不表示目前持有這些案件附件。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不納入無法確認的報價金額、供應者名稱、簽約人姓名、出席、核准結果或課程成效。</w:t>
      </w:r>
    </w:p>
    <w:p>
      <w:pPr>
        <w:pStyle w:val="Heading2"/>
      </w:pPr>
      <w:r>
        <w:t>指標定義、分母與計算方法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加權總分依本報告採用的公式，以各項評分乘以該項權重後加總。每個示範年度使用相同四項準則及權重，分數採1至5分；權重合計為100%。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履約達成率＝已完成且可追溯的檢核項目數 ÷ 當年度應完成檢核項目數 × 100%。示範分母每年均為4；只有材料能連回同一課程與履約事項時才計為完成。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年度差異以後一年度減前一年度計算；跨年度總履約達成率以完成數總和除以應完成數總和，不直接平均年度百分比。分數四捨五入至小數二位，百分比至小數一位，百分點差異以未四捨五入的比例相減後表示。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使用的分數級距是示範判讀規則，並非官方門檻且尚未生效：加權總分低於3.00列優先補強；3.00至未滿4.00列需改善；達4.00但履約檢核未全數完成者仍列需改善，先補齊缺項再覆核；只有達4.00且四項檢核全完成才列達示範檢視門檻。</w:t>
      </w:r>
    </w:p>
    <w:p>
      <w:pPr>
        <w:pStyle w:val="Heading2"/>
      </w:pPr>
      <w:r>
        <w:t>完整示範資料及逐步計算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完整填入的兩筆示範資料、各準則評分、權重、履約檢核分子分母及逐步計算列於「年度案例明細與逐步計算」表。所有列均採示範資料｜非本會實際紀錄標示。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第一筆加權分數為4×25%＋4×25%＋3×25%＋2×25%＝3.25分；履約檢核率為3÷4×100%＝75.0%。第二筆為4×25%＋4×25%＋4×25%＋4×25%＝4.00分；履約檢核率為4÷4×100%＝100.0%。</w:t>
      </w:r>
    </w:p>
    <w:p>
      <w:pPr>
        <w:pStyle w:val="Heading2"/>
      </w:pPr>
      <w:r>
        <w:t>分群／趨勢／差異結果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在這組合成年度比較中，加權分數由3.25分升至4.00分，增加0.75分；履約檢核率由75.0%升至100.0%，增加25.0個百分點。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兩年度合併計算為7項完成、8項應完成，履約達成率87.5%；兩筆加權分數的算術平均為3.625分，顯示至小數二位為3.63分。由於合併履約率未達示範完整門檻，整體仍判為需改善。</w:t>
      </w:r>
    </w:p>
    <w:p>
      <w:pPr>
        <w:pStyle w:val="Heading2"/>
      </w:pPr>
      <w:r>
        <w:t>圖表解讀及品質限制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趨勢表顯示第二筆示範案例的四項評分均為4分，且四項履約材料檢核均完成；第一筆的履約後檢討改善檢核未完成，是兩筆差異的主要缺口。這只解讀示範表內的數值，不代表真實機構有改善趨勢。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樣本僅有兩筆合成案例，沒有案件母體清冊、原始文件、抽樣框或外部查證，因此不能外推年度整體表現、推論因果、比較供應者或估計課程成效。加權分數、權重與門檻須由真實制度及原始記錄確認後才可採用。</w:t>
      </w:r>
    </w:p>
    <w:p>
      <w:pPr>
        <w:pStyle w:val="Heading2"/>
      </w:pPr>
      <w:r>
        <w:t>發現、原因與證據強度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示範發現：第一筆案例的履約後檢討改善項未能完成可追溯檢核，故三項完成、四項應完成；第二筆案例四項均完成。示範差距呈現在履約檢討與改善閉環材料，而不是採購前兩項檢核。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原因尚不能由這組數值確定。改善追蹤欄位補齊與評分增加同時出現在示範資料中，不能據此宣稱前者造成後者。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證據強度只支持方法演練及表內算術核對；不支持機構實績、核准、簽章、採購合法性或第三方事實。</w:t>
      </w:r>
    </w:p>
    <w:p>
      <w:pPr>
        <w:pStyle w:val="Heading2"/>
      </w:pPr>
      <w:r>
        <w:t>結論與可執行建議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若以真實資料套用本報告，應能從同一課程識別資料依序找到選擇前的評估規準、選擇理由及核決、簽署契約、履約檢查、檢討結論、改善責任及結案證據；任一連結缺漏即列為待補證據，不以示範分數替代。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示範資料的首要改善方向是讓履約後檢討、改善責任、期限及結案證據可連回原契約與課程。所列分數和檢核結果只供展示分析方法，正式決策須由權責角色核對案件原件後作成。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選擇前保留課程需求、評估規準及形成日期，避免事後補寫成事前標準。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將採購比較、選擇理由及核決文件與同一課程識別資料連結，使選擇可以重現。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以已簽署契約及驗收依據核對履約；記錄偏差、檢討、改善責任、期限及結案材料。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每年度按同一定義重算分子、分母及加權分數，並在比較表揭露缺件及排除理由。</w:t>
      </w:r>
    </w:p>
    <w:p>
      <w:pPr>
        <w:pStyle w:val="Heading2"/>
      </w:pPr>
      <w:r>
        <w:t>責任人、期限與追蹤指標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下列責任角色及時限是供審議的示範安排，不表示本會已設置相同職務、已指派人員或已核定制度。正式採用前須由權責角色確認授權、分工及工作量。</w:t>
      </w:r>
    </w:p>
    <w:p>
      <w:pPr>
        <w:pStyle w:val="Heading2"/>
      </w:pPr>
      <w:r>
        <w:t>合成資料聲明及真實替換清單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本報告所有案例均為示範資料｜非本會實際紀錄。正式分析前，須逐筆以可驗證的真實案件原件替換示範期間、評分、檢核數、結果與判讀，並保留原件對應及覆核證據。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課程及評估：以核實過的課程計畫、需求資料、事前規準及評估表替換。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採購及選擇：以實際採購比較資料、選擇理由及授權核決原件替換。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簽約及履約：以正式簽署契約、驗收或履約檢查記錄替換；不得仿製簽章。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檢討及改善：以實際履約評估、改善負責角色、期限、複核及結案記錄替換。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評分、分母與比率：依真實案件母體及應檢項目清單重新評分與計算；無原件支持的項目不列為完成。</w:t>
      </w:r>
    </w:p>
    <w:p>
      <w:pPr>
        <w:pStyle w:val="Heading2"/>
      </w:pPr>
      <w:r>
        <w:t>附件索引、覆核與版本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官方要求定位：《TTQS查核佐證文件資料表－訓練機構版》，指標10，第3頁。此處只定位官方要求，不將其作為本會實際課程案件證明。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案件附件索引：本報告未附任何可證明本會實際課程評估、採購、契約或履約結果的案件原件；真實分析需由資料保管端逐件取得並核對原件。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覆核方式：由課程承辦角色核對資料與分母，由採購覆核角色核對選擇及契約鏈結，再由管理權責角色確認判讀與改善建議；本示範文本沒有實際覆核簽章或核准。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版本狀態為示範資料｜非本會實際紀錄；修訂日期為2026年10月4日；生效日期為未生效。</w:t>
      </w:r>
    </w:p>
    <w:p>
      <w:pPr>
        <w:pStyle w:val="Heading2"/>
      </w:pPr>
      <w:r>
        <w:t>資料欄位、定義、分母、來源及限制字典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分析欄位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定義及單位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分母或計算口徑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真實案件應核對的原件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限制及解讀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評估準則及分數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每項以1至5分評估需求適切、選擇理由可重現、契約及驗收清楚、履約後檢討改善可追蹤。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每筆案件四項；分數越高表示示範量尺定義下的證據品質越完整。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課程需求分析、事前評分規準及評估表。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量尺為示範設定，需經權責確認後才可用於真實決策。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評估權重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四項準則各占25%，合計100%。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加權總分＝各項評分×對應權重後加總。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經確認的課程評估辦法及已定版評估表。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不可把示範權重稱為現行制度。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選擇及契約檢核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核對選擇前規準、可重現的理由、契約範圍及簽署完成的契約是否可追溯至同一課程。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逐筆以有明確來源、可連結案件的材料判定完成或未完成。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採購比較及核決原件、正式簽署契約及驗收依據。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文件存在本身不等於程序適當，仍須覆核內容與授權。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履約追蹤完成數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已完成且可追溯的檢核項目數，項。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分子為完成數；每筆示範應完成數為4項。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履約檢查、課程評估、改善責任與結案記錄。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未能連回案件的材料不得計入分子。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履約達成率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當期完成檢核項目占應完成項目的百分比。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完成項目數÷應完成項目數×100%；應完成數為零時列不適用並說明。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案件母體清單與逐項履約檢核材料。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跨年度合併時加總分子及分母後再除，不平均年度百分比。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改善閉環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由檢討發現連到責任角色、期限、複核及結案證據的紀錄。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以有來源的改善項逐項追蹤；本示範未設定組織實績分母。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實際檢討紀錄、改善追蹤及結案核對原件。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不得只用口頭說明或示範欄位宣稱已改善。</w:t>
            </w:r>
          </w:p>
        </w:tc>
      </w:tr>
    </w:tbl>
    <w:p>
      <w:pPr>
        <w:spacing w:after="20"/>
      </w:pPr>
    </w:p>
    <w:p>
      <w:pPr>
        <w:pStyle w:val="Heading2"/>
      </w:pPr>
      <w:r>
        <w:t>年度案例明細與逐步計算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</w:tblGrid>
      <w:tr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示範年度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需求與事前規準分數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選擇理由可重現分數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契約及驗收分數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履約檢討改善分數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四項權重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加權計算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加權總分／5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履約檢核完成／應完成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履約達成率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判讀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資料狀態</w:t>
            </w:r>
          </w:p>
        </w:tc>
      </w:tr>
      <w:tr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25%、25%、25%、25%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4×25%＋4×25%＋3×25%＋2×25%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3.25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3／4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75.0%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需改善；履約檢討改善項未完成可追溯檢核。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示範資料｜非本會實際紀錄</w:t>
            </w:r>
          </w:p>
        </w:tc>
      </w:tr>
      <w:tr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25%、25%、25%、25%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4×25%＋4×25%＋4×25%＋4×25%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4.00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4／4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100.0%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達示範檢視門檻；四項履約材料均可追溯。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示範資料｜非本會實際紀錄</w:t>
            </w:r>
          </w:p>
        </w:tc>
      </w:tr>
    </w:tbl>
    <w:p>
      <w:pPr>
        <w:spacing w:after="20"/>
      </w:pPr>
    </w:p>
    <w:p>
      <w:pPr>
        <w:pStyle w:val="Heading2"/>
      </w:pPr>
      <w:r>
        <w:t>分群比較及差距優先排序矩陣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比較項目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2024年度示範值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2025年度示範值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差異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優先缺口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證據界線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加權總分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3.25／5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4.00／5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增加0.75分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先補履約後檢討改善的可追溯材料。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僅是兩筆合成資料的計算結果。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履約檢核完成率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3／4＝75.0%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4／4＝100.0%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增加25.0個百分點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將改善責任、期限、複核及結案材料連回課程案件。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不得外推為機構年度實績或因果效果。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兩筆合併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完成3項／應完成4項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完成4項／應完成4項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完成7項／應完成8項＝87.5%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合併率未達示範完整門檻，仍列整體需改善。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分母一致但樣本僅兩筆合成案例。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兩筆平均加權分數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3.25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4.00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(3.25＋4.00)÷2＝3.625，顯示為3.63／5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取得真實案件母體後重新計算，不以示範平均作正式績效。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未作統計推論或顯著性判斷。</w:t>
            </w:r>
          </w:p>
        </w:tc>
      </w:tr>
    </w:tbl>
    <w:p>
      <w:pPr>
        <w:spacing w:after="20"/>
      </w:pPr>
    </w:p>
    <w:p>
      <w:pPr>
        <w:pStyle w:val="Heading2"/>
      </w:pPr>
      <w:r>
        <w:t>結論、證據、建議、責任與追蹤指標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結論或待改善事項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表內依據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建議行動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示範責任角色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示範期限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追蹤指標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第一筆案例的履約後檢討改善檢核未完成。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年度案例表：3／4項、75.0%；履約檢討改善分數2分。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補齊檢討發現、改善責任、期限、複核與結案材料間的連結。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課程承辦角色。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示範安排為課程結束後30日內彙整。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四項履約材料可追溯完成率；缺件項目須列明原因。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選擇理由及契約須與同一課程資料連結。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資料字典的選擇及契約檢核欄位。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保存事前規準、比較結果、選擇核決、正式契約及驗收依據。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採購覆核角色。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選擇理由於採購承諾前完成；契約於履約開始前簽署。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抽核案件中選擇及契約材料完整可追溯的比例。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示範整體結果仍未達完整門檻。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合併率7／8＝87.5%；平均分數3.63／5。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下一輪以同一分母及已核定量尺重算，對缺項逐項追蹤。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管理權責角色。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示範安排為收齊資料後10個工作日內完成覆核。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完成項目數／應完成項目數、加權分數、未結改善項數。</w:t>
            </w:r>
          </w:p>
        </w:tc>
      </w:tr>
    </w:tbl>
    <w:p>
      <w:pPr>
        <w:spacing w:after="20"/>
      </w:pPr>
    </w:p>
    <w:p>
      <w:pPr>
        <w:pStyle w:val="Heading2"/>
      </w:pPr>
      <w:r>
        <w:t>官方要求、分析結果、證據位置及覆核追溯表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官方要求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本報告對應結果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應取得的真實案件證據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本報告位置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覆核判斷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相關文件能記錄近年來對於課程之評估、採購、簽約與後續管理作業的檢討及改善。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以事前評估、選擇理由、契約與履約改善四個連續環節分析年度記錄；示範合併履約率為87.5%，仍列需改善。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課程計畫及需求資料、事前評估表、採購比較與核決原件、正式簽署契約、履約檢查及改善結案原件。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官方要求及分析範圍；資料字典；年度案例明細；分群比較；結論追蹤表。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官方原文可追溯至《TTQS查核佐證文件資料表－訓練機構版》第3頁；示範數值不得作為實際證據。</w:t>
            </w:r>
          </w:p>
        </w:tc>
      </w:tr>
    </w:tbl>
    <w:p>
      <w:pPr>
        <w:spacing w:after="20"/>
      </w:pPr>
    </w:p>
    <w:p>
      <w:pPr>
        <w:pStyle w:val="Heading2"/>
      </w:pPr>
      <w:r>
        <w:t>評量方式與判定</w:t>
      </w:r>
    </w:p>
    <w:p>
      <w:pPr>
        <w:pStyle w:val="Heading3"/>
      </w:pPr>
      <w:r>
        <w:t>判斷依據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評量項目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權重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查核重點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選擇前課程需求與評估規準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需求、目標及評估規準在選擇前可追溯。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資源選擇理由可重現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能由候選比較、適用性及選擇理由重現決定脈絡。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採購、契約及驗收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採購核決、契約範圍、雙方簽署及驗收依據可核對。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履約後評估及改善追蹤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履約檢討能連結改善責任、期限、複核及結案材料。</w:t>
            </w:r>
          </w:p>
        </w:tc>
      </w:tr>
    </w:tbl>
    <w:p>
      <w:pPr>
        <w:spacing w:after="20"/>
      </w:pPr>
    </w:p>
    <w:p>
      <w:pPr>
        <w:pStyle w:val="Heading3"/>
      </w:pPr>
      <w:r>
        <w:t>評分量尺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分數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未見可追溯材料。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材料零散，無法說明主要判斷。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有部分記錄，但前後關聯或檢討閉環不完整。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主要內容完整，能連結課程與決策並供覆核。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5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記錄完整、可重現，且改善結果有後續複核。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履約檢核項目：</w:t>
      </w:r>
      <w:r>
        <w:rPr>
          <w:rFonts w:ascii="Microsoft JhengHei" w:hAnsi="Microsoft JhengHei" w:eastAsia="Microsoft JhengHei"/>
          <w:b w:val="0"/>
          <w:sz w:val="22"/>
        </w:rPr>
        <w:t>選擇前需求與評估規準可追溯。、選擇理由及比較資料可重現。、正式契約範圍、簽署及驗收依據可核對。、履約後檢討、改善責任、期限及結案可追蹤。</w:t>
      </w:r>
    </w:p>
    <w:p>
      <w:pPr>
        <w:pStyle w:val="Heading3"/>
      </w:pPr>
      <w:r>
        <w:t>示範判讀門檻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判讀條件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判斷標準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加權分數低於3.00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優先補強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加權分數至少3.00但低於4.00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需改善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加權分數至少4.00但履約檢核未全數完成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仍列需改善；先補齊缺項，再由管理權責角色覆核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加權分數至少4.00且四項檢核全數完成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達示範檢視門檻</w:t>
            </w:r>
          </w:p>
        </w:tc>
      </w:tr>
    </w:tbl>
    <w:p>
      <w:pPr>
        <w:spacing w:after="20"/>
      </w:pP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4763</Words>
  <Characters>5495</Characters>
  <Application>Microsoft Macintosh Word</Application>
  <DocSecurity>0</DocSecurity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相關文件能記錄近年來對於課程之評估、採購、簽_制度文件</dc:title>
  <dc:subject>整理近年課程從需求評估、資源選擇、採購簽約到履約後檢討改善的證據口徑，提供資料覆核與改善決策使用；本文內案例僅為示範資料。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