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spacing w:before="0" w:after="90" w:line="276" w:lineRule="auto"/>
      </w:pPr>
      <w:r>
        <w:rPr>
          <w:rFonts w:ascii="Microsoft JhengHei" w:hAnsi="Microsoft JhengHei" w:eastAsia="Microsoft JhengHei" w:cs="Microsoft JhengHei"/>
          <w:b/>
          <w:bCs/>
          <w:color w:val="000000"/>
          <w:sz w:val="48"/>
          <w:szCs w:val="48"/>
          <w:lang w:val="zh-TW"/>
        </w:rPr>
        <w:t xml:space="preserve">中長程業務發展策略地圖</w:t>
      </w:r>
    </w:p>
    <w:p>
      <w:pPr>
        <w:pStyle w:val="Subtitle"/>
        <w:spacing w:before="0" w:after="140" w:line="276" w:lineRule="auto"/>
      </w:pPr>
      <w:r>
        <w:rPr>
          <w:rFonts w:ascii="Microsoft JhengHei" w:hAnsi="Microsoft JhengHei" w:eastAsia="Microsoft JhengHei" w:cs="Microsoft JhengHei"/>
          <w:color w:val="176B73"/>
          <w:sz w:val="27"/>
          <w:szCs w:val="27"/>
          <w:lang w:val="zh-TW"/>
        </w:rPr>
        <w:t xml:space="preserve">從服務定位到三年行動資源與年度檢視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完整示例｜案例甲｜SAMPLE/SYNTHETIC；不是實際機構業績、核定計畫或第三方事實。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30秒掌握本圖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550"/>
        <w:gridCol w:w="7530"/>
      </w:tblGrid>
      <w:tr>
        <w:trPr>
          <w:tblHeader w:val="true"/>
          <w:cantSplit/>
        </w:trPr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快速欄位</w:t>
            </w:r>
          </w:p>
        </w:tc>
        <w:tc>
          <w:tcPr>
            <w:tcW w:w="75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使用說明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目的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把經營方向轉成三年策略、年度行動、責任、時程、衡量方式與調整條件。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使用者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供理監事、主管與執行人員對齊發展方向與資源。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使用時點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年度計畫與預算編列前建立；每季檢視進度；第四季整理年度修訂。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怎麼使用</w:t>
            </w:r>
          </w:p>
        </w:tc>
        <w:tc>
          <w:tcPr>
            <w:tcW w:w="75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先核對REAL需求與營運原件，再與示例分開比較；確認方向後指派責任、排定里程碑、設定檢視門檻。</w:t>
            </w:r>
          </w:p>
        </w:tc>
      </w:tr>
      <w:tr>
        <w:trPr>
          <w:cantSplit/>
        </w:trPr>
        <w:tc>
          <w:tcPr>
            <w:tcW w:w="25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預期輸出</w:t>
            </w:r>
          </w:p>
        </w:tc>
        <w:tc>
          <w:tcPr>
            <w:tcW w:w="75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三年方向圖、年度工作、角色分工、量化目標、風險門檻、決策與修訂紀錄。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官方要求原文與示例分開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0080"/>
      </w:tblGrid>
      <w:tr>
        <w:trPr>
          <w:tblHeader w:val="true"/>
          <w:cantSplit/>
        </w:trPr>
        <w:tc>
          <w:tcPr>
            <w:tcW w:w="10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官方佐證要求原文</w:t>
            </w:r>
          </w:p>
        </w:tc>
      </w:tr>
      <w:tr>
        <w:trPr>
          <w:cantSplit/>
        </w:trPr>
        <w:tc>
          <w:tcPr>
            <w:tcW w:w="1008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中長程的業務發展規劃策略地圖。 （p.13；OOO手冊中第O頁； 官網首頁）</w:t>
            </w:r>
          </w:p>
        </w:tc>
      </w:tr>
    </w:tbl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color w:val="52636A"/>
          <w:sz w:val="22"/>
          <w:szCs w:val="22"/>
          <w:lang w:val="zh-TW"/>
        </w:rPr>
        <w:t xml:space="preserve">核對位置：TTQS查核佐證文件資料表（訓練機構版）PDF第1頁；TTQS人才發展品質管理評核表（訓練機構版）PDF第1頁第1項。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需求線索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服務定位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課程組合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工作運用</w:t>
            </w:r>
          </w:p>
        </w:tc>
        <w:tc>
          <w:tcPr>
            <w:tcW w:w="2016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持續經營</w:t>
            </w:r>
          </w:p>
        </w:tc>
      </w:tr>
      <w:tr>
        <w:trPr>
          <w:cantSplit/>
        </w:trPr>
        <w:tc>
          <w:tcPr>
            <w:tcW w:w="2016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先核實原件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明確服務對象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配置課程與教師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90日追蹤運用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續訓與收入韌性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一 決策範圍與示例現況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本圖將官方要求落成可討論的方向、目標客群、策略因果、年度工作與責任安排。它聚焦中長程經營地圖；需求調查問卷的題目與樣本結果由相應文件記錄，逐項指標定義及計算明細由另冊《策略因果鏈與三年KPI對照表》維持一致。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FFF2D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80520A"/>
                <w:sz w:val="20"/>
                <w:szCs w:val="20"/>
                <w:lang w:val="zh-TW"/>
              </w:rPr>
              <w:t xml:space="preserve">案例甲為完整演算情境：組織名稱、服務區域、需求、數字、目標、角色、排程與決策均為SAMPLE/SYNTHETIC，未援引真實協會實績、真人簽章或外部合作事實。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目標對象與適用範圍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w="22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欄位</w:t>
            </w:r>
          </w:p>
        </w:tc>
        <w:tc>
          <w:tcPr>
            <w:tcW w:w="78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>示例人才發展協會在示例服務區提供職能培訓；名稱與定位均為虛構。 定位願景（SAMPLE/SYNTHETIC）：成為小型服務業可持續使用的職能培訓夥伴。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目標客群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微型與小型服務業主管及第一線工作者；須以REAL客戶紀錄核實。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需求情境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數位工作流程、顧客服務溝通、現場主管帶教；僅為策略演算題材。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價值主張</w:t>
            </w:r>
          </w:p>
        </w:tc>
        <w:tc>
          <w:tcPr>
            <w:tcW w:w="78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依真實需求線索設計工作情境練習，並追蹤結訓後的實務運用。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適用範圍</w:t>
            </w:r>
          </w:p>
        </w:tc>
        <w:tc>
          <w:tcPr>
            <w:tcW w:w="78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訓練產品組合、教師能力、學習轉化及續訓經營；不宣稱未查證的客戶成果或合作關係。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基準資料與計算（全為示例）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50"/>
        <w:gridCol w:w="2300"/>
        <w:gridCol w:w="2850"/>
        <w:gridCol w:w="3280"/>
      </w:tblGrid>
      <w:tr>
        <w:trPr>
          <w:tblHeader w:val="true"/>
          <w:cantSplit/>
        </w:trPr>
        <w:tc>
          <w:tcPr>
            <w:tcW w:w="1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衡量面向</w:t>
            </w:r>
          </w:p>
        </w:tc>
        <w:tc>
          <w:tcPr>
            <w:tcW w:w="2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2026案例值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公式與結果</w:t>
            </w:r>
          </w:p>
        </w:tc>
        <w:tc>
          <w:tcPr>
            <w:tcW w:w="32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來源限制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課程與結業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4班；80人報名；68人結業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68÷80×100%=85%結業率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案例演算；REAL須核對課程、報名與結業原件。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結訓後追蹤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68位結業者；45份90日有效回覆；27位回覆者表示至少一項工作運用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45÷68=66.2%回覆涵蓋；27÷45=60%回覆者運用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只描述有效回覆者，不推論未回覆者。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8家服務企業；3家重複委訓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3÷8×100%=37.5%</w:t>
            </w:r>
          </w:p>
        </w:tc>
        <w:tc>
          <w:tcPr>
            <w:tcW w:w="32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同年第二次以上付費委訓才計入；REAL須核對交易。</w:t>
            </w:r>
          </w:p>
        </w:tc>
      </w:tr>
      <w:tr>
        <w:trPr>
          <w:cantSplit/>
        </w:trPr>
        <w:tc>
          <w:tcPr>
            <w:tcW w:w="16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收入韌性</w:t>
            </w:r>
          </w:p>
        </w:tc>
        <w:tc>
          <w:tcPr>
            <w:tcW w:w="2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自籌訓練收入新臺幣240,000元；訓練總收入新臺幣1,200,000元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240,000÷1,200,000×100%=20%</w:t>
            </w:r>
          </w:p>
        </w:tc>
        <w:tc>
          <w:tcPr>
            <w:tcW w:w="32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案例收入分類；REAL須以正式帳務核對。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欄位完整度示例：各分母大於零、分子未超過分母且期間一致，算術檢查一致；但沒有協會原始紀錄可核驗，因此數值仍維持SAMPLE/SYNTHETIC。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二 三年業務發展策略地圖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案例策略從需求線索出發，先確認服務定位與課程組合，再以工作情境練習培養可用能力，結訓後追蹤工作運用，最後以續訓與自籌收入比檢視服務能否持續。每個箭頭都是待REAL資料檢驗的策略假設。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450"/>
        <w:gridCol w:w="1900"/>
        <w:gridCol w:w="2450"/>
        <w:gridCol w:w="2050"/>
        <w:gridCol w:w="2230"/>
      </w:tblGrid>
      <w:tr>
        <w:trPr>
          <w:tblHeader w:val="true"/>
          <w:cantSplit/>
        </w:trPr>
        <w:tc>
          <w:tcPr>
            <w:tcW w:w="1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地圖層次</w:t>
            </w:r>
          </w:p>
        </w:tc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案例方向</w:t>
            </w:r>
          </w:p>
        </w:tc>
        <w:tc>
          <w:tcPr>
            <w:tcW w:w="24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行動方式</w:t>
            </w:r>
          </w:p>
        </w:tc>
        <w:tc>
          <w:tcPr>
            <w:tcW w:w="20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可觀察變化</w:t>
            </w:r>
          </w:p>
        </w:tc>
        <w:tc>
          <w:tcPr>
            <w:tcW w:w="22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核對資料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服務對象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微型與小型服務業主管及第一線工作者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核實服務區、工作情境及客戶類型。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需求與課程主題對應實際任務。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需求原件、客戶紀錄、目標客群決議。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服務價值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職能培訓連到工作實務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把工作情境練習、學習檢核及教師支持納入設計。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學員能說明並示範工作運用。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課程計畫、學習檢核、90日原始追蹤。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內部能力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需求整理、課程設計、教學與追蹤</w:t>
            </w:r>
          </w:p>
        </w:tc>
        <w:tc>
          <w:tcPr>
            <w:tcW w:w="24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角色乙整合組合，角色戊共備，角色丙維護口徑。</w:t>
            </w:r>
          </w:p>
        </w:tc>
        <w:tc>
          <w:tcPr>
            <w:tcW w:w="20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課程與追蹤紀錄可重複、可覆核。</w:t>
            </w:r>
          </w:p>
        </w:tc>
        <w:tc>
          <w:tcPr>
            <w:tcW w:w="22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年度工作計畫、課程文件、資料字典。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客戶與營運</w:t>
            </w:r>
          </w:p>
        </w:tc>
        <w:tc>
          <w:tcPr>
            <w:tcW w:w="1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續訓服務與收入韌性</w:t>
            </w:r>
          </w:p>
        </w:tc>
        <w:tc>
          <w:tcPr>
            <w:tcW w:w="24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追蹤續訓原因，以帳務和核定預算安排資源。</w:t>
            </w:r>
          </w:p>
        </w:tc>
        <w:tc>
          <w:tcPr>
            <w:tcW w:w="20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續訓率與自籌收入比逐年改善。</w:t>
            </w:r>
          </w:p>
        </w:tc>
        <w:tc>
          <w:tcPr>
            <w:tcW w:w="22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交易、帳務、預算與決策原件。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策略主軸與因果連結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000"/>
        <w:gridCol w:w="2700"/>
        <w:gridCol w:w="24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策略主軸</w:t>
            </w:r>
          </w:p>
        </w:tc>
        <w:tc>
          <w:tcPr>
            <w:tcW w:w="30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執行方向</w:t>
            </w:r>
          </w:p>
        </w:tc>
        <w:tc>
          <w:tcPr>
            <w:tcW w:w="2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年度可交付成果</w:t>
            </w:r>
          </w:p>
        </w:tc>
        <w:tc>
          <w:tcPr>
            <w:tcW w:w="24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因果依據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需求導向課程組合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核實真實客戶與工作資料，再選年度主題。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可追溯的客群、課程組合與調整理由。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需求證據說明選擇，不以假設冒充市場結論。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實務演練與講師能力</w:t>
            </w:r>
          </w:p>
        </w:tc>
        <w:tc>
          <w:tcPr>
            <w:tcW w:w="30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納入工作任務、操作練習、教師共備和學習檢核。</w:t>
            </w:r>
          </w:p>
        </w:tc>
        <w:tc>
          <w:tcPr>
            <w:tcW w:w="27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課程計畫、教材、共備和學習檢核紀錄。</w:t>
            </w:r>
          </w:p>
        </w:tc>
        <w:tc>
          <w:tcPr>
            <w:tcW w:w="24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課程安排連回機構定位及目標客戶。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學習轉化與持續經營</w:t>
            </w:r>
          </w:p>
        </w:tc>
        <w:tc>
          <w:tcPr>
            <w:tcW w:w="30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以90日追蹤觀察運用，年度檢視續訓和財務分類。</w:t>
            </w:r>
          </w:p>
        </w:tc>
        <w:tc>
          <w:tcPr>
            <w:tcW w:w="27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運用率、續訓率、收入比與修訂紀錄。</w:t>
            </w:r>
          </w:p>
        </w:tc>
        <w:tc>
          <w:tcPr>
            <w:tcW w:w="24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回覆者資料只支持回覆者分析；財務結論須由帳務證明。</w:t>
            </w:r>
          </w:p>
        </w:tc>
      </w:tr>
    </w:tbl>
    <w:p>
      <w:pPr>
        <w:jc w:val="center"/>
        <w:spacing w:before="0" w:after="11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22"/>
          <w:szCs w:val="22"/>
          <w:lang w:val="zh-TW"/>
        </w:rPr>
        <w:t xml:space="preserve">策略路徑：需求線索 → 服務定位 → 課程組合 → 工作情境練習 → 90日運用 → 企業續訓與收入韌性。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三 目標指標與計算口徑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以下數值是完整年度規劃示例，不是協會承諾或實績。逐項公式、資料定義與年度差異應與另冊《策略因果鏈與三年KPI對照表》同步核對。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460"/>
        <w:gridCol w:w="2100"/>
        <w:gridCol w:w="1840"/>
        <w:gridCol w:w="1840"/>
        <w:gridCol w:w="1840"/>
      </w:tblGrid>
      <w:tr>
        <w:trPr>
          <w:tblHeader w:val="true"/>
          <w:cantSplit/>
        </w:trPr>
        <w:tc>
          <w:tcPr>
            <w:tcW w:w="24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</w:t>
            </w:r>
          </w:p>
        </w:tc>
        <w:tc>
          <w:tcPr>
            <w:tcW w:w="21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2026示例基準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2027示例目標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2028示例目標</w:t>
            </w:r>
          </w:p>
        </w:tc>
        <w:tc>
          <w:tcPr>
            <w:tcW w:w="18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2029示例目標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年度實際開課班次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4班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5班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6班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7班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68÷80=85%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至少86%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至少88%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至少90%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27÷45=60%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至少62%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至少68%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21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3÷8=37.5%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至少40%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至少50%</w:t>
            </w:r>
          </w:p>
        </w:tc>
        <w:tc>
          <w:tcPr>
            <w:tcW w:w="18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至少57%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21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240,000÷1,200,000=20%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至少25%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至少30%</w:t>
            </w:r>
          </w:p>
        </w:tc>
        <w:tc>
          <w:tcPr>
            <w:tcW w:w="18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至少35%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指標定義、來源與驗證規則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3060"/>
        <w:gridCol w:w="2550"/>
        <w:gridCol w:w="267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指標欄位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定義與分母</w:t>
            </w:r>
          </w:p>
        </w:tc>
        <w:tc>
          <w:tcPr>
            <w:tcW w:w="25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REAL來源位置</w:t>
            </w:r>
          </w:p>
        </w:tc>
        <w:tc>
          <w:tcPr>
            <w:tcW w:w="26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填寫與驗證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開課班次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該曆年實際完成授課的班次數。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年度課程表、開課紀錄及結案資料。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角色乙記錄班次及期間；未開課規劃不列入。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年度結業人數÷年度報名人數。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報名名冊、出席紀錄與結業判定。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角色丙核對同期間、分母大於零且分子不超過分母。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90日工作運用率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有效回覆者中至少一項工作運用人數÷有效回覆數。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追蹤名冊、原始回覆與結訓日期。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角色丙另列回覆涵蓋率；不外推未回覆者或宣稱因果。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重複委訓率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同曆年有第二次以上付費訓練的企業數÷年內服務企業數。</w:t>
            </w:r>
          </w:p>
        </w:tc>
        <w:tc>
          <w:tcPr>
            <w:tcW w:w="25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客戶台帳、委訓紀錄與交易憑證。</w:t>
            </w:r>
          </w:p>
        </w:tc>
        <w:tc>
          <w:tcPr>
            <w:tcW w:w="26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角色乙去除企業重複列計，以實際交易期間為準。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自籌訓練收入比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自籌訓練收入÷訓練總收入；補助、捐贈不列入自籌收入。</w:t>
            </w:r>
          </w:p>
        </w:tc>
        <w:tc>
          <w:tcPr>
            <w:tcW w:w="25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正式會計帳、收入分類與年度財務資料。</w:t>
            </w:r>
          </w:p>
        </w:tc>
        <w:tc>
          <w:tcPr>
            <w:tcW w:w="26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角色丁核對分類、期間與總帳勾稽。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逐步算例：結業率68÷80=0.85；0.85×100%=85%。90日運用率27÷45=0.60；回覆涵蓋率另以45÷68=66.2%呈現。基準比率保留小數一位，目標用整數百分比；正式報告須以原始資料和一致四捨五入口徑重算。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四 工作分解責任與時程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工作分解與責任協作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3300"/>
        <w:gridCol w:w="2470"/>
        <w:gridCol w:w="241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工作包</w:t>
            </w:r>
          </w:p>
        </w:tc>
        <w:tc>
          <w:tcPr>
            <w:tcW w:w="3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具體工作</w:t>
            </w:r>
          </w:p>
        </w:tc>
        <w:tc>
          <w:tcPr>
            <w:tcW w:w="24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主責與協作</w:t>
            </w:r>
          </w:p>
        </w:tc>
        <w:tc>
          <w:tcPr>
            <w:tcW w:w="24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輸出及完成判準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需求與課程組合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核對客群及需求原件，將年度主題連到服務定位。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角色乙主責；角色甲覆核方向。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來源定位、客群、課程組合與調整理由可追溯。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課程與教師能力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設計工作情境練習、教師共備與學習檢核。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角色戊主責；角色乙確認策略連結。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實際開課有課程文件、教材及教學紀錄。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學習轉化追蹤</w:t>
            </w:r>
          </w:p>
        </w:tc>
        <w:tc>
          <w:tcPr>
            <w:tcW w:w="3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整理結業、90日回覆、有效樣本與工作運用資料。</w:t>
            </w:r>
          </w:p>
        </w:tc>
        <w:tc>
          <w:tcPr>
            <w:tcW w:w="24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角色丙主責；角色戊提供教學資料。</w:t>
            </w:r>
          </w:p>
        </w:tc>
        <w:tc>
          <w:tcPr>
            <w:tcW w:w="24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分子、分母、期間、來源、計算與覆核完整。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續訓與資源</w:t>
            </w:r>
          </w:p>
        </w:tc>
        <w:tc>
          <w:tcPr>
            <w:tcW w:w="3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檢視客戶續訓、收入分類、預算及資源風險。</w:t>
            </w:r>
          </w:p>
        </w:tc>
        <w:tc>
          <w:tcPr>
            <w:tcW w:w="24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角色丁核財務；角色乙整理續訓；角色甲依正式程序決策。</w:t>
            </w:r>
          </w:p>
        </w:tc>
        <w:tc>
          <w:tcPr>
            <w:tcW w:w="24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客戶與帳務原件勾稽，正式決議有紀錄。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示例角色與責任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4500"/>
        <w:gridCol w:w="378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角色標籤</w:t>
            </w:r>
          </w:p>
        </w:tc>
        <w:tc>
          <w:tcPr>
            <w:tcW w:w="45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責任範圍</w:t>
            </w:r>
          </w:p>
        </w:tc>
        <w:tc>
          <w:tcPr>
            <w:tcW w:w="3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覆核與授權界線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角色甲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召集策略檢討、確認方向與協作。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只有真實授權及正式決議後才可核准。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角色乙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維護地圖、核實需求、整合年度工作與修訂。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以實際工作紀錄和會議結果更新。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角色丙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維護指標口徑、來源定位、資料品質及計算覆核。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核對原始名冊、分母、期間與公式。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角色丁</w:t>
            </w:r>
          </w:p>
        </w:tc>
        <w:tc>
          <w:tcPr>
            <w:tcW w:w="45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核對財務分類、預算、支出及資源可用性。</w:t>
            </w:r>
          </w:p>
        </w:tc>
        <w:tc>
          <w:tcPr>
            <w:tcW w:w="3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以正式帳務與預算原件覆核。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角色戊</w:t>
            </w:r>
          </w:p>
        </w:tc>
        <w:tc>
          <w:tcPr>
            <w:tcW w:w="45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維護課程設計、教師共備、教學及學習資料。</w:t>
            </w:r>
          </w:p>
        </w:tc>
        <w:tc>
          <w:tcPr>
            <w:tcW w:w="3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以實際課程文件和授課紀錄覆核。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三年階段與季度里程碑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5860"/>
        <w:gridCol w:w="242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年度階段</w:t>
            </w:r>
          </w:p>
        </w:tc>
        <w:tc>
          <w:tcPr>
            <w:tcW w:w="58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季度行動與里程碑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決策閘門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2027 試行與建基準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第一季核實需求；第二季試行；第三季整理90日運用；第四季檢討指標與資源。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真實來源及實際預算核對前不擴大承諾。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2028 標準化與深化</w:t>
            </w:r>
          </w:p>
        </w:tc>
        <w:tc>
          <w:tcPr>
            <w:tcW w:w="58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第一季修訂標準；第二季深化組合；第三季檢視運用及續訓；第四季年度檢討。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將目標差異與口徑修訂記入決策紀錄。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2029 鞏固與接續</w:t>
            </w:r>
          </w:p>
        </w:tc>
        <w:tc>
          <w:tcPr>
            <w:tcW w:w="58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第一季檢視資源；第二季穩定服務；第三季檢視轉化與韌性；第四季提出下一期地圖。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下一期方向依核實資料與正式決議。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五 資源安排假設與風險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核讀的資料沒有協會預算、人力名冊或已簽約課程，因此本例只設定資源類別、責任安排與支出控制點，不填造金額、員額或第三方合作。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資源配置方式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00"/>
        <w:gridCol w:w="4300"/>
        <w:gridCol w:w="4080"/>
      </w:tblGrid>
      <w:tr>
        <w:trPr>
          <w:tblHeader w:val="true"/>
          <w:cantSplit/>
        </w:trPr>
        <w:tc>
          <w:tcPr>
            <w:tcW w:w="17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資源</w:t>
            </w:r>
          </w:p>
        </w:tc>
        <w:tc>
          <w:tcPr>
            <w:tcW w:w="43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示例配置方式</w:t>
            </w:r>
          </w:p>
        </w:tc>
        <w:tc>
          <w:tcPr>
            <w:tcW w:w="40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REAL核對點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統籌人力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角色甲召集方向；角色乙維護地圖與年度工作；角色丙負責資料；角色丁負責財務；角色戊負責課程。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以現行職務分工、授權、人力可用時數及替代人力核對。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課程與教師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依年度班次安排課程設計、教師共備、教材與工作情境練習。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取得實際課程成本、教師排程與核定年度計畫。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資料與追蹤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維護報名、出席、結業、90日回覆、客戶續訓及財務紀錄。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確認真實保存位置、期間、責任人和原始紀錄完整性。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</w:t>
            </w:r>
          </w:p>
        </w:tc>
        <w:tc>
          <w:tcPr>
            <w:tcW w:w="43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本例不設定可用金額；依課程、教師、教材、追蹤與行政成本編製預算。</w:t>
            </w:r>
          </w:p>
        </w:tc>
        <w:tc>
          <w:tcPr>
            <w:tcW w:w="40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以正式核定預算為上限；核定前不承諾支出。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外部協作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本例未設定真實合作機構或第三方承諾。</w:t>
            </w:r>
          </w:p>
        </w:tc>
        <w:tc>
          <w:tcPr>
            <w:tcW w:w="40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只引用合法取得的協議或原件，不補作、不代製。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主要假設、預警門檻與應變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800"/>
        <w:gridCol w:w="2180"/>
        <w:gridCol w:w="3040"/>
        <w:gridCol w:w="3060"/>
      </w:tblGrid>
      <w:tr>
        <w:trPr>
          <w:tblHeader w:val="true"/>
          <w:cantSplit/>
        </w:trPr>
        <w:tc>
          <w:tcPr>
            <w:tcW w:w="18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問題或風險</w:t>
            </w:r>
          </w:p>
        </w:tc>
        <w:tc>
          <w:tcPr>
            <w:tcW w:w="21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觸發條件</w:t>
            </w:r>
          </w:p>
        </w:tc>
        <w:tc>
          <w:tcPr>
            <w:tcW w:w="304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修正與責任</w:t>
            </w:r>
          </w:p>
        </w:tc>
        <w:tc>
          <w:tcPr>
            <w:tcW w:w="30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覆核及追蹤輸出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需求假設不成立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2027年第一季仍無真實需求來源可核對。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角色乙暫停擴大課程組合，補取原件並重排優先序。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角色甲檢視來源、方法、母數及決策理由。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結業低於示例門檻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年度結業率低於82%。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角色乙與角色戊檢視時段、先備條件、教學支持及出席。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角色丙重算同期間分母，記錄改善責任及期限。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追蹤不足或運用偏低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有效90日回覆少於30份，或回覆者運用率低於55%。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角色丙檢查追蹤流程與回覆品質，必要時調整聯繫方式。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只報告回覆者結果，不外推未回覆者；下季再檢視。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續訓未達示例底線</w:t>
            </w:r>
          </w:p>
        </w:tc>
        <w:tc>
          <w:tcPr>
            <w:tcW w:w="21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年度重複委訓率低於35%。</w:t>
            </w:r>
          </w:p>
        </w:tc>
        <w:tc>
          <w:tcPr>
            <w:tcW w:w="304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角色乙整理未續訓原因與客群適配；角色甲檢視方向。</w:t>
            </w:r>
          </w:p>
        </w:tc>
        <w:tc>
          <w:tcPr>
            <w:tcW w:w="306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用真實客戶與交易紀錄驗證後再決定修訂。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經費或資源風險</w:t>
            </w:r>
          </w:p>
        </w:tc>
        <w:tc>
          <w:tcPr>
            <w:tcW w:w="21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未取得核定預算或估算超過核定額。</w:t>
            </w:r>
          </w:p>
        </w:tc>
        <w:tc>
          <w:tcPr>
            <w:tcW w:w="30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角色丁暫停新增未承諾支出並重編方案。</w:t>
            </w:r>
          </w:p>
        </w:tc>
        <w:tc>
          <w:tcPr>
            <w:tcW w:w="306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角色甲依正式程序檢視；保存預算版本與決議。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80520A"/>
          <w:sz w:val="22"/>
          <w:szCs w:val="22"/>
          <w:lang w:val="zh-TW"/>
        </w:rPr>
        <w:t xml:space="preserve">上述門檻都是案例管理示值，不是官方規定。真實採用前，須以協會歷年基準、服務型態、合法資料及實際資源調整。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六 檢討決策與版本修訂</w:t>
      </w:r>
    </w:p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檢討節奏與固定輸出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600"/>
        <w:gridCol w:w="2900"/>
        <w:gridCol w:w="3150"/>
        <w:gridCol w:w="2430"/>
      </w:tblGrid>
      <w:tr>
        <w:trPr>
          <w:tblHeader w:val="true"/>
          <w:cantSplit/>
        </w:trPr>
        <w:tc>
          <w:tcPr>
            <w:tcW w:w="16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頻率</w:t>
            </w:r>
          </w:p>
        </w:tc>
        <w:tc>
          <w:tcPr>
            <w:tcW w:w="2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參與角色</w:t>
            </w:r>
          </w:p>
        </w:tc>
        <w:tc>
          <w:tcPr>
            <w:tcW w:w="31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檢視內容</w:t>
            </w:r>
          </w:p>
        </w:tc>
        <w:tc>
          <w:tcPr>
            <w:tcW w:w="24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必要輸出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每季一次</w:t>
            </w:r>
          </w:p>
        </w:tc>
        <w:tc>
          <w:tcPr>
            <w:tcW w:w="290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角色甲召集；角色乙整理；角色丙提供指標；角色丁提供資源狀況；角色戊提供課程資料。</w:t>
            </w:r>
          </w:p>
        </w:tc>
        <w:tc>
          <w:tcPr>
            <w:tcW w:w="31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里程碑、分子分母、來源、風險門檻、資源及未完成事項。</w:t>
            </w:r>
          </w:p>
        </w:tc>
        <w:tc>
          <w:tcPr>
            <w:tcW w:w="24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有來源定位的檢討紀錄、責任人、期限與修正動作。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每年第四季一次</w:t>
            </w:r>
          </w:p>
        </w:tc>
        <w:tc>
          <w:tcPr>
            <w:tcW w:w="290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同上；角色甲依真實授權程序決策。</w:t>
            </w:r>
          </w:p>
        </w:tc>
        <w:tc>
          <w:tcPr>
            <w:tcW w:w="31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本年度實績、目標差異、客戶與課程變化、財務分類及下年度方向。</w:t>
            </w:r>
          </w:p>
        </w:tc>
        <w:tc>
          <w:tcPr>
            <w:tcW w:w="24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年度檢討、核定版本、預算銜接與變更理由。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已填寫的策略決策示例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50"/>
        <w:gridCol w:w="7730"/>
      </w:tblGrid>
      <w:tr>
        <w:trPr>
          <w:tblHeader w:val="true"/>
          <w:cantSplit/>
        </w:trPr>
        <w:tc>
          <w:tcPr>
            <w:tcW w:w="23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決策欄位</w:t>
            </w:r>
          </w:p>
        </w:tc>
        <w:tc>
          <w:tcPr>
            <w:tcW w:w="773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案例甲示例紀錄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議題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是否將數位工作流程、顧客服務溝通、現場主管帶教列為試行主題。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資料與限制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三項主題只是情境假設；沒有真實需求調查、客戶合約或課程結果證明優先順序。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示例方向與理由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先形成規劃草案；取得真實需求原件與年度預算前不承諾擴班，避免把假設寫成市場結論。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責任與時點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角色乙整理真實來源；角色丙核對口徑；角色丁確認資源；預定2027年第一季檢視。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覆核與狀態</w:t>
            </w:r>
          </w:p>
        </w:tc>
        <w:tc>
          <w:tcPr>
            <w:tcW w:w="773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角色甲須依真實授權及正式會議程序決議。本例沒有會議紀錄、核准或簽章，僅為SAMPLE/SYNTHETIC。</w:t>
            </w:r>
          </w:p>
        </w:tc>
      </w:tr>
      <w:tr>
        <w:trPr>
          <w:cantSplit/>
        </w:trPr>
        <w:tc>
          <w:tcPr>
            <w:tcW w:w="23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追蹤輸出</w:t>
            </w:r>
          </w:p>
        </w:tc>
        <w:tc>
          <w:tcPr>
            <w:tcW w:w="773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保留來源名稱、日期、頁表位置、計算方式、理由、責任人、期限與修訂。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問題修正、覆核與追蹤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900"/>
        <w:gridCol w:w="2850"/>
        <w:gridCol w:w="2650"/>
        <w:gridCol w:w="2680"/>
      </w:tblGrid>
      <w:tr>
        <w:trPr>
          <w:tblHeader w:val="true"/>
          <w:cantSplit/>
        </w:trPr>
        <w:tc>
          <w:tcPr>
            <w:tcW w:w="190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例外情況</w:t>
            </w:r>
          </w:p>
        </w:tc>
        <w:tc>
          <w:tcPr>
            <w:tcW w:w="28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立即處置</w:t>
            </w:r>
          </w:p>
        </w:tc>
        <w:tc>
          <w:tcPr>
            <w:tcW w:w="26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覆核方式</w:t>
            </w:r>
          </w:p>
        </w:tc>
        <w:tc>
          <w:tcPr>
            <w:tcW w:w="26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結案條件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案例數值沒有協會原始紀錄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維持SAMPLE/SYNTHETIC，不對外報作協會實績。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取得原件後角色丙重算學習指標，角色丁重算財務比率。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角色乙更新來源定位；正式檢討後決定是否替換。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分母、期間或來源不一致</w:t>
            </w:r>
          </w:p>
        </w:tc>
        <w:tc>
          <w:tcPr>
            <w:tcW w:w="28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暫緩比較，依口徑修正期間與資料範圍。</w:t>
            </w:r>
          </w:p>
        </w:tc>
        <w:tc>
          <w:tcPr>
            <w:tcW w:w="26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角色丙核對名冊、公式及去重規則。</w:t>
            </w:r>
          </w:p>
        </w:tc>
        <w:tc>
          <w:tcPr>
            <w:tcW w:w="26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同期間數據可重算且來源可追溯後，才解除資料品質標記。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課程或預算尚未核准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不用示例代替決議，不新增未承諾支出。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用正式會議紀錄及有效預算版本覆核。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記錄真實決議日期、版本、責任人與後續期限。</w:t>
            </w:r>
          </w:p>
        </w:tc>
      </w:tr>
      <w:tr>
        <w:tc>
          <w:tcPr>
            <w:tcW w:w="190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有效期間的合法分母為0（獨立示例：2026年第二季沒有符合納入條件的調查對象）</w:t>
            </w:r>
          </w:p>
        </w:tc>
        <w:tc>
          <w:tcPr>
            <w:tcW w:w="28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結果列為 N/A（無可計算母體），不得列作 0% 或與數字目標比較；若分子大於0，視為資料異常並暫停使用。示例：符合對象0、有效回覆0，0/0=N/A，不併入年度基準。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角色丙核對同期間納入條件、名冊與有效回覆數，確認零母體不是漏登或來源缺漏。</w:t>
            </w:r>
          </w:p>
        </w:tc>
        <w:tc>
          <w:tcPr>
            <w:tcW w:w="26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rPr>
                <w:sz w:val="20"/>
              </w:rPr>
              <w:t>記錄分子、分母、期間、來源定位與原因；以同期間正式名冊及原始回覆紀錄替換後重算。有效零分母仍列N/A並說明原因。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修訂控制：年度檢討記錄變更前後內容、來源、計算差異、提案角色、正式決議日期與生效版本。沒有真實授權文件前，不標示核准、簽名或正式生效。</w:t>
      </w:r>
    </w:p>
    <w:p>
      <w:r>
        <w:br w:type="page"/>
      </w:r>
    </w:p>
    <w:p>
      <w:pPr>
        <w:pStyle w:val="Heading1"/>
        <w:keepNext/>
        <w:spacing w:before="180" w:after="100" w:line="276" w:lineRule="auto"/>
      </w:pPr>
      <w:r>
        <w:rPr>
          <w:rFonts w:ascii="Microsoft JhengHei" w:hAnsi="Microsoft JhengHei" w:eastAsia="Microsoft JhengHei" w:cs="Microsoft JhengHei"/>
          <w:b/>
          <w:bCs/>
          <w:color w:val="114A5A"/>
          <w:sz w:val="32"/>
          <w:szCs w:val="32"/>
          <w:lang w:val="zh-TW"/>
        </w:rPr>
        <w:t xml:space="preserve">七 REAL資料替換區與來源追溯</w:t>
      </w:r>
    </w:p>
    <w:tbl>
      <w:tblPr>
        <w:tblW w:w="10080" w:type="dxa"/>
        <w:tblLayout w:type="fixed"/>
        <w:tblBorders>
          <w:top w:val="single" w:sz="8" w:color="D5BD82"/>
          <w:left w:val="single" w:sz="8" w:color="D5BD82"/>
          <w:bottom w:val="single" w:sz="8" w:color="D5BD82"/>
          <w:right w:val="single" w:sz="8" w:color="D5BD82"/>
        </w:tblBorders>
      </w:tblPr>
      <w:tblGrid>
        <w:gridCol w:w="10080"/>
      </w:tblGrid>
      <w:tr>
        <w:trPr>
          <w:cantSplit/>
        </w:trPr>
        <w:tc>
          <w:tcPr>
            <w:tcW w:w="10080" w:type="dxa"/>
            <w:shd w:val="clear" w:fill="E7F2F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55C56"/>
                <w:sz w:val="20"/>
                <w:szCs w:val="20"/>
                <w:lang w:val="zh-TW"/>
              </w:rPr>
              <w:t xml:space="preserve">REAL資料替換區｜下列內容列明應取得的原件與替換方式；前述案例值不得升格為實績，且不以空白表格充當完成成果。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逐項取得原件後更新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1750"/>
        <w:gridCol w:w="3570"/>
        <w:gridCol w:w="2810"/>
        <w:gridCol w:w="1950"/>
      </w:tblGrid>
      <w:tr>
        <w:trPr>
          <w:tblHeader w:val="true"/>
          <w:cantSplit/>
        </w:trPr>
        <w:tc>
          <w:tcPr>
            <w:tcW w:w="17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資料項目</w:t>
            </w:r>
          </w:p>
        </w:tc>
        <w:tc>
          <w:tcPr>
            <w:tcW w:w="357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需取得的真實原件</w:t>
            </w:r>
          </w:p>
        </w:tc>
        <w:tc>
          <w:tcPr>
            <w:tcW w:w="281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更新位置與責任</w:t>
            </w:r>
          </w:p>
        </w:tc>
        <w:tc>
          <w:tcPr>
            <w:tcW w:w="195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核對規則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機構定位與客群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有效登記文件、章程、正式發展方向、目標客戶定義及客戶紀錄。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更新第2至3節；角色乙整理，角色甲依正式程序覆核。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核對名稱、日期、版本、原文頁次與客群定義。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市場需求與策略主題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合法取得的需求調查原件、方法、樣本母數、客戶回饋及決策紀錄。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更新需求假設與第3節；問卷題目及樣本結果由問卷文件呈現。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記錄期間、母數、回收數、有效數與限制，不把假設改成結論。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課程與學習結果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正式課程計畫、開課、報名、出席、結業、學習檢核與追蹤原始回覆。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更新第2、4、5節；角色丙重算，角色戊核課程。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公式、期間、分子、分母、排除條件與來源位置可重算。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客戶續訓與財務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委訓紀錄、客戶台帳、交易憑證、總帳、收入分類及核定預算。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更新第2、4、6節；角色丁核財務，角色乙核客戶。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同期間同收入定義；補助捐贈依正式會計分類處理。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角色、授權與正式決議</w:t>
            </w:r>
          </w:p>
        </w:tc>
        <w:tc>
          <w:tcPr>
            <w:tcW w:w="357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現行組織分工、職務授權、正式會議紀錄及有效版本。</w:t>
            </w:r>
          </w:p>
        </w:tc>
        <w:tc>
          <w:tcPr>
            <w:tcW w:w="281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更新第5至7節；只填真實職務、姓名、決議日期和期限。</w:t>
            </w:r>
          </w:p>
        </w:tc>
        <w:tc>
          <w:tcPr>
            <w:tcW w:w="195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簽章、核准與真人參與只依合法原件核實。</w:t>
            </w:r>
          </w:p>
        </w:tc>
      </w:tr>
      <w:tr>
        <w:trPr>
          <w:cantSplit/>
        </w:trPr>
        <w:tc>
          <w:tcPr>
            <w:tcW w:w="175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第三方合作與外部事實</w:t>
            </w:r>
          </w:p>
        </w:tc>
        <w:tc>
          <w:tcPr>
            <w:tcW w:w="357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第三方正式協議、核准函、證書或合法提供的原始證明。</w:t>
            </w:r>
          </w:p>
        </w:tc>
        <w:tc>
          <w:tcPr>
            <w:tcW w:w="281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取得原件後再列索引；案例沒有外部合作或第三方成果。</w:t>
            </w:r>
          </w:p>
        </w:tc>
        <w:tc>
          <w:tcPr>
            <w:tcW w:w="195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只引用可合法核對的原件，不仿製、不補作、不冒充。</w:t>
            </w:r>
          </w:p>
        </w:tc>
      </w:tr>
    </w:tbl>
    <w:p>
      <w:pPr>
        <w:pStyle w:val="Heading2"/>
        <w:keepNext/>
        <w:spacing w:before="120" w:after="65" w:line="276" w:lineRule="auto"/>
      </w:pPr>
      <w:r>
        <w:rPr>
          <w:rFonts w:ascii="Microsoft JhengHei" w:hAnsi="Microsoft JhengHei" w:eastAsia="Microsoft JhengHei" w:cs="Microsoft JhengHei"/>
          <w:b/>
          <w:bCs/>
          <w:color w:val="176B73"/>
          <w:sz w:val="26"/>
          <w:szCs w:val="26"/>
          <w:lang w:val="zh-TW"/>
        </w:rPr>
        <w:t xml:space="preserve">官方要求與本圖欄位追溯</w:t>
      </w:r>
    </w:p>
    <w:tbl>
      <w:tblPr>
        <w:tblW w:w="10080" w:type="dxa"/>
        <w:tblLayout w:type="fixed"/>
        <w:tblBorders>
          <w:top w:val="single" w:sz="5" w:color="CAD9DC"/>
          <w:left w:val="single" w:sz="5" w:color="CAD9DC"/>
          <w:bottom w:val="single" w:sz="5" w:color="CAD9DC"/>
          <w:right w:val="single" w:sz="5" w:color="CAD9DC"/>
          <w:insideH w:val="single" w:sz="4" w:color="D7E2E4"/>
          <w:insideV w:val="single" w:sz="4" w:color="D7E2E4"/>
        </w:tblBorders>
        <w:tblLook w:firstRow="1" w:noHBand="0" w:noVBand="1"/>
      </w:tblPr>
      <w:tblGrid>
        <w:gridCol w:w="2360"/>
        <w:gridCol w:w="2520"/>
        <w:gridCol w:w="2780"/>
        <w:gridCol w:w="2420"/>
      </w:tblGrid>
      <w:tr>
        <w:trPr>
          <w:tblHeader w:val="true"/>
          <w:cantSplit/>
        </w:trPr>
        <w:tc>
          <w:tcPr>
            <w:tcW w:w="236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官方依據</w:t>
            </w:r>
          </w:p>
        </w:tc>
        <w:tc>
          <w:tcPr>
            <w:tcW w:w="25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本圖對應內容</w:t>
            </w:r>
          </w:p>
        </w:tc>
        <w:tc>
          <w:tcPr>
            <w:tcW w:w="278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可核對欄位或輸出</w:t>
            </w:r>
          </w:p>
        </w:tc>
        <w:tc>
          <w:tcPr>
            <w:tcW w:w="2420" w:type="dxa"/>
            <w:shd w:val="clear" w:color="auto" w:fill="114A5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0"/>
                <w:szCs w:val="20"/>
                <w:lang w:val="zh-TW"/>
              </w:rPr>
              <w:t xml:space="preserve">REAL來源定位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「中長程的業務發展規劃策略地圖。」及佐證表列出的定位</w:t>
            </w:r>
          </w:p>
        </w:tc>
        <w:tc>
          <w:tcPr>
            <w:tcW w:w="25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首頁原文框；第2至7節策略、目標、工作、風險與檢討。</w:t>
            </w:r>
          </w:p>
        </w:tc>
        <w:tc>
          <w:tcPr>
            <w:tcW w:w="278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定位與客群、因果路徑、三年目標、責任、里程碑、資源及修訂。</w:t>
            </w:r>
          </w:p>
        </w:tc>
        <w:tc>
          <w:tcPr>
            <w:tcW w:w="242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TTQS查核佐證文件資料表（訓練機構版）第1頁；實際來源另記正式名稱與頁表。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EAF1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bCs/>
                <w:color w:val="114A5A"/>
                <w:sz w:val="20"/>
                <w:szCs w:val="20"/>
                <w:lang w:val="zh-TW"/>
              </w:rPr>
              <w:t xml:space="preserve">評核表第1頁第1項「訓練機構未來經營方向及目標之訂定」；內涵包括未來方向、營運計畫、機構定位及目標客戶。</w:t>
            </w:r>
          </w:p>
        </w:tc>
        <w:tc>
          <w:tcPr>
            <w:tcW w:w="25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第2節界定定位與客群；第3節說明策略路徑；第5至7節連到年度工作、責任及檢討。</w:t>
            </w:r>
          </w:p>
        </w:tc>
        <w:tc>
          <w:tcPr>
            <w:tcW w:w="278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來源、填寫角色、驗證規則、理由、覆核及後續行動。</w:t>
            </w:r>
          </w:p>
        </w:tc>
        <w:tc>
          <w:tcPr>
            <w:tcW w:w="2420" w:type="dxa"/>
            <w:shd w:val="clear" w:color="auto" w:fill="F8FA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pPr>
              <w:spacing w:before="0" w:after="25" w:line="276" w:lineRule="auto"/>
            </w:pPr>
            <w:r>
              <w:rPr>
                <w:rFonts w:ascii="Microsoft JhengHei" w:hAnsi="Microsoft JhengHei" w:eastAsia="Microsoft JhengHei" w:cs="Microsoft JhengHei"/>
                <w:color w:val="26343A"/>
                <w:sz w:val="20"/>
                <w:szCs w:val="20"/>
                <w:lang w:val="zh-TW"/>
              </w:rPr>
              <w:t xml:space="preserve">TTQS人才發展品質管理評核表（訓練機構版）第1頁；協會原件由協會提供。</w:t>
            </w:r>
          </w:p>
        </w:tc>
      </w:tr>
    </w:tbl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範圍界線：本件呈現中長程方向、因果路徑、責任、時間與調整依據；不代替目標市場需求調查問卷，也不重製《策略因果鏈與三年KPI對照表》的逐項指標明細。</w:t>
      </w:r>
    </w:p>
    <w:p>
      <w:pPr>
        <w:spacing w:before="0" w:after="90" w:line="276" w:lineRule="auto"/>
      </w:pPr>
      <w:r>
        <w:rPr>
          <w:rFonts w:ascii="Microsoft JhengHei" w:hAnsi="Microsoft JhengHei" w:eastAsia="Microsoft JhengHei" w:cs="Microsoft JhengHei"/>
          <w:color w:val="26343A"/>
          <w:sz w:val="22"/>
          <w:szCs w:val="22"/>
          <w:lang w:val="zh-TW"/>
        </w:rPr>
        <w:t xml:space="preserve">版本與限制：本件為策略規劃示例，沒有協會真實資料、正式授權、核准或簽章。取得原件後，逐欄替換、重算指標、記錄版本與決議；第三方證據只能由合法來源取得。</w:t>
      </w:r>
    </w:p>
    <w:sectPr>
      <w:pgSz w:w="11906" w:h="16838"/>
      <w:pgMar w:top="900" w:right="910" w:bottom="900" w:left="910" w:header="450" w:footer="450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val="zh-TW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Microsoft JhengHei" w:hAnsi="Microsoft JhengHei" w:eastAsia="Microsoft JhengHei" w:cs="Microsoft JhengHei"/>
      <w:sz w:val="22"/>
      <w:szCs w:val="22"/>
    </w:rPr>
    <w:pPr>
      <w:spacing w:after="90" w:line="276" w:lineRule="auto"/>
    </w:pPr>
  </w:style>
  <w:style w:type="paragraph" w:styleId="Title">
    <w:name w:val="Title"/>
    <w:basedOn w:val="Normal"/>
    <w:next w:val="Subtitle"/>
    <w:qFormat/>
    <w:pPr>
      <w:keepNext/>
      <w:spacing w:after="90"/>
    </w:pPr>
    <w:rPr>
      <w:rFonts w:ascii="Microsoft JhengHei" w:hAnsi="Microsoft JhengHei" w:eastAsia="Microsoft JhengHei"/>
      <w:b/>
      <w:color w:val="000000"/>
      <w:sz w:val="48"/>
      <w:szCs w:val="48"/>
    </w:rPr>
  </w:style>
  <w:style w:type="paragraph" w:styleId="Subtitle">
    <w:name w:val="Subtitle"/>
    <w:basedOn w:val="Normal"/>
    <w:rPr>
      <w:rFonts w:ascii="Microsoft JhengHei" w:hAnsi="Microsoft JhengHei" w:eastAsia="Microsoft JhengHei"/>
      <w:color w:val="176B73"/>
      <w:sz w:val="27"/>
      <w:szCs w:val="2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180" w:after="100"/>
    </w:pPr>
    <w:rPr>
      <w:rFonts w:ascii="Microsoft JhengHei" w:hAnsi="Microsoft JhengHei" w:eastAsia="Microsoft JhengHei"/>
      <w:b/>
      <w:color w:val="114A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20" w:after="65"/>
    </w:pPr>
    <w:rPr>
      <w:rFonts w:ascii="Microsoft JhengHei" w:hAnsi="Microsoft JhengHei" w:eastAsia="Microsoft JhengHei"/>
      <w:b/>
      <w:color w:val="176B7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/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中長程業務發展策略地圖</dc:title>
  <dc:subject>三年策略、行動與年度檢視</dc:subject>
  <dc:creator>策略規劃示例</dc:creator>
  <cp:keywords>策略地圖, SAMPLE/SYNTHETIC</cp:keywords>
  <dcterms:modified xmlns:dcterms="http://purl.org/dc/terms/" xsi:type="dcterms:W3CDTF">2026-10-02T17:49:31Z</dcterms:modified>
</cp:coreProperties>
</file>