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before="0" w:after="90" w:line="276" w:lineRule="auto"/>
      </w:pPr>
      <w:r>
        <w:rPr>
          <w:rFonts w:ascii="Microsoft JhengHei" w:hAnsi="Microsoft JhengHei" w:eastAsia="Microsoft JhengHei" w:cs="Microsoft JhengHei"/>
          <w:b/>
          <w:bCs/>
          <w:color w:val="000000"/>
          <w:sz w:val="48"/>
          <w:szCs w:val="48"/>
          <w:lang w:val="zh-TW"/>
        </w:rPr>
        <w:t xml:space="preserve">中長程業務發展策略地圖</w:t>
      </w:r>
    </w:p>
    <w:p>
      <w:pPr>
        <w:pStyle w:val="Subtitle"/>
        <w:spacing w:before="0" w:after="140" w:line="276" w:lineRule="auto"/>
      </w:pPr>
      <w:r>
        <w:rPr>
          <w:rFonts w:ascii="Microsoft JhengHei" w:hAnsi="Microsoft JhengHei" w:eastAsia="Microsoft JhengHei" w:cs="Microsoft JhengHei"/>
          <w:color w:val="176B73"/>
          <w:sz w:val="27"/>
          <w:szCs w:val="27"/>
          <w:lang w:val="zh-TW"/>
        </w:rPr>
        <w:t xml:space="preserve">從服務定位到三年行動資源與年度檢視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 xml:space="preserve">完整示例｜案例甲｜SAMPLE/SYNTHETIC；不是實際機構業績、核定計畫或第三方事實。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30秒掌握本圖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550"/>
        <w:gridCol w:w="7530"/>
      </w:tblGrid>
      <w:tr>
        <w:trPr>
          <w:tblHeader w:val="true"/>
          <w:cantSplit/>
        </w:trPr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快速欄位</w:t>
            </w:r>
          </w:p>
        </w:tc>
        <w:tc>
          <w:tcPr>
            <w:tcW w:w="75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使用說明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目的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把經營方向轉成三年策略、年度行動、責任、時程、衡量方式與調整條件。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使用者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供理監事、主管與執行人員對齊發展方向與資源。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使用時點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年度計畫與預算編列前建立；每季檢視進度；第四季整理年度修訂。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怎麼使用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先核對REAL需求與營運原件，再與示例分開比較；確認方向後指派責任、排定里程碑、設定檢視門檻。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預期輸出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三年方向圖、年度工作、角色分工、量化目標、風險門檻、決策與修訂紀錄。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官方要求原文與示例分開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0080"/>
      </w:tblGrid>
      <w:tr>
        <w:trPr>
          <w:tblHeader w:val="true"/>
          <w:cantSplit/>
        </w:trPr>
        <w:tc>
          <w:tcPr>
            <w:tcW w:w="10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官方佐證要求原文</w:t>
            </w:r>
          </w:p>
        </w:tc>
      </w:tr>
      <w:tr>
        <w:trPr>
          <w:cantSplit/>
        </w:trPr>
        <w:tc>
          <w:tcPr>
            <w:tcW w:w="1008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中長程的業務發展規劃策略地圖。 （p.13；OOO手冊中第O頁； 官網首頁）</w:t>
            </w:r>
          </w:p>
        </w:tc>
      </w:tr>
    </w:tbl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color w:val="52636A"/>
          <w:sz w:val="22"/>
          <w:szCs w:val="22"/>
          <w:lang w:val="zh-TW"/>
        </w:rPr>
        <w:t xml:space="preserve">核對位置：TTQS查核佐證文件資料表（訓練機構版）PDF第1頁；TTQS人才發展品質管理評核表（訓練機構版）PDF第1頁第1項。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需求線索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服務定位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課程組合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工作運用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持續經營</w:t>
            </w:r>
          </w:p>
        </w:tc>
      </w:tr>
      <w:tr>
        <w:trPr>
          <w:cantSplit/>
        </w:trPr>
        <w:tc>
          <w:tcPr>
            <w:tcW w:w="2016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先核實原件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明確服務對象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配置課程與教師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90日追蹤運用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續訓與收入韌性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一 決策範圍與示例現況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本圖將官方要求落成可討論的方向、目標客群、策略因果、年度工作與責任安排。它聚焦中長程經營地圖；需求調查問卷的題目與樣本結果由相應文件記錄，逐項指標定義及計算明細由另冊《策略因果鏈與三年KPI對照表》維持一致。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 xml:space="preserve">案例甲為完整演算情境：組織名稱、服務區域、需求、數字、目標、角色、排程與決策均為SAMPLE/SYNTHETIC，未援引真實協會實績、真人簽章或外部合作事實。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目標對象與適用範圍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200"/>
        <w:gridCol w:w="7880"/>
      </w:tblGrid>
      <w:tr>
        <w:trPr>
          <w:tblHeader w:val="true"/>
          <w:cantSplit/>
        </w:trPr>
        <w:tc>
          <w:tcPr>
            <w:tcW w:w="22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欄位</w:t>
            </w:r>
          </w:p>
        </w:tc>
        <w:tc>
          <w:tcPr>
            <w:tcW w:w="78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>示例人才發展協會在示例服務區提供職能培訓；名稱與定位均為虛構。 定位願景（SAMPLE/SYNTHETIC）：成為小型服務業可持續使用的職能培訓夥伴。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目標客群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微型與小型服務業主管及第一線工作者；須以REAL客戶紀錄核實。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需求情境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數位工作流程、顧客服務溝通、現場主管帶教；僅為策略演算題材。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價值主張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依真實需求線索設計工作情境練習，並追蹤結訓後的實務運用。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適用範圍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訓練產品組合、教師能力、學習轉化及續訓經營；不宣稱未查證的客戶成果或合作關係。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基準資料與計算（全為示例）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50"/>
        <w:gridCol w:w="2300"/>
        <w:gridCol w:w="2850"/>
        <w:gridCol w:w="3280"/>
      </w:tblGrid>
      <w:tr>
        <w:trPr>
          <w:tblHeader w:val="true"/>
          <w:cantSplit/>
        </w:trPr>
        <w:tc>
          <w:tcPr>
            <w:tcW w:w="1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衡量面向</w:t>
            </w:r>
          </w:p>
        </w:tc>
        <w:tc>
          <w:tcPr>
            <w:tcW w:w="2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>2026案例值（期間：2026-01-01至2026-12-31）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公式與結果</w:t>
            </w:r>
          </w:p>
        </w:tc>
        <w:tc>
          <w:tcPr>
            <w:tcW w:w="32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來源限制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課程與結業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4班；80人報名；68人結業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68÷80×100%=85%結業率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案例演算；REAL須核對課程、報名與結業原件。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結訓後追蹤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68位結業者；45份90日有效回覆；27位回覆者表示至少一項工作運用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45÷68=66.2%回覆涵蓋；27÷45=60%回覆者運用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只描述有效回覆者，不推論未回覆者。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8家服務企業；3家重複委訓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3÷8×100%=37.5%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同年第二次以上付費委訓才計入；REAL須核對交易。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收入韌性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自籌訓練收入新臺幣240,000元；訓練總收入新臺幣1,200,000元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240,000÷1,200,000×100%=20%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案例收入分類；REAL須以正式帳務核對。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欄位完整度示例：各分母大於零、分子未超過分母且期間一致，算術檢查一致；但沒有協會原始紀錄可核驗，因此數值仍維持SAMPLE/SYNTHETIC。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二 三年業務發展策略地圖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案例策略從需求線索出發，先確認服務定位與課程組合，再以工作情境練習培養可用能力，結訓後追蹤工作運用，最後以續訓與自籌收入比檢視服務能否持續。每個箭頭都是待REAL資料檢驗的策略假設。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450"/>
        <w:gridCol w:w="1900"/>
        <w:gridCol w:w="2450"/>
        <w:gridCol w:w="2050"/>
        <w:gridCol w:w="2230"/>
      </w:tblGrid>
      <w:tr>
        <w:trPr>
          <w:tblHeader w:val="true"/>
          <w:cantSplit/>
        </w:trPr>
        <w:tc>
          <w:tcPr>
            <w:tcW w:w="1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地圖層次</w:t>
            </w:r>
          </w:p>
        </w:tc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案例方向</w:t>
            </w:r>
          </w:p>
        </w:tc>
        <w:tc>
          <w:tcPr>
            <w:tcW w:w="2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行動方式</w:t>
            </w:r>
          </w:p>
        </w:tc>
        <w:tc>
          <w:tcPr>
            <w:tcW w:w="20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可觀察變化</w:t>
            </w:r>
          </w:p>
        </w:tc>
        <w:tc>
          <w:tcPr>
            <w:tcW w:w="22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核對資料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服務對象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核實服務區、工作情境及客戶類型。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需求與課程主題對應實際任務。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需求原件、客戶紀錄、目標客群決議。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服務價值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職能培訓連到工作實務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把工作情境練習、學習檢核及教師支持納入設計。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學員能說明並示範工作運用。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課程計畫、學習檢核、90日原始追蹤。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內部能力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需求整理、課程設計、教學與追蹤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角色乙整合組合，角色戊共備，角色丙維護口徑。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課程與追蹤紀錄可重複、可覆核。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年度工作計畫、課程文件、資料字典。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客戶與營運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續訓服務與收入韌性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追蹤續訓原因，以帳務和核定預算安排資源。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續訓率與自籌收入比逐年改善。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交易、帳務、預算與決策原件。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策略主軸與因果連結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000"/>
        <w:gridCol w:w="2700"/>
        <w:gridCol w:w="24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策略主軸</w:t>
            </w:r>
          </w:p>
        </w:tc>
        <w:tc>
          <w:tcPr>
            <w:tcW w:w="30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執行方向</w:t>
            </w:r>
          </w:p>
        </w:tc>
        <w:tc>
          <w:tcPr>
            <w:tcW w:w="2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年度可交付成果</w:t>
            </w:r>
          </w:p>
        </w:tc>
        <w:tc>
          <w:tcPr>
            <w:tcW w:w="24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因果依據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需求導向課程組合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核實真實客戶與工作資料，再選年度主題。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可追溯的客群、課程組合與調整理由。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需求證據說明選擇，不以假設冒充市場結論。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實務演練與講師能力</w:t>
            </w:r>
          </w:p>
        </w:tc>
        <w:tc>
          <w:tcPr>
            <w:tcW w:w="30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納入工作任務、操作練習、教師共備和學習檢核。</w:t>
            </w:r>
          </w:p>
        </w:tc>
        <w:tc>
          <w:tcPr>
            <w:tcW w:w="27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課程計畫、教材、共備和學習檢核紀錄。</w:t>
            </w:r>
          </w:p>
        </w:tc>
        <w:tc>
          <w:tcPr>
            <w:tcW w:w="24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課程安排連回機構定位及目標客戶。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學習轉化與持續經營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以90日追蹤觀察運用，年度檢視續訓和財務分類。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運用率、續訓率、收入比與修訂紀錄。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回覆者資料只支持回覆者分析；財務結論須由帳務證明。</w:t>
            </w:r>
          </w:p>
        </w:tc>
      </w:tr>
    </w:tbl>
    <w:p>
      <w:pPr>
        <w:jc w:val="center"/>
        <w:spacing w:before="0" w:after="11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22"/>
          <w:szCs w:val="22"/>
          <w:lang w:val="zh-TW"/>
        </w:rPr>
        <w:t xml:space="preserve">策略路徑：需求線索 → 服務定位 → 課程組合 → 工作情境練習 → 90日運用 → 企業續訓與收入韌性。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三 目標指標與計算口徑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以下數值是完整年度規劃示例，不是協會承諾或實績。逐項公式、資料定義與年度差異應與另冊《策略因果鏈與三年KPI對照表》同步核對。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460"/>
        <w:gridCol w:w="2100"/>
        <w:gridCol w:w="1840"/>
        <w:gridCol w:w="1840"/>
        <w:gridCol w:w="1840"/>
      </w:tblGrid>
      <w:tr>
        <w:trPr>
          <w:tblHeader w:val="true"/>
          <w:cantSplit/>
        </w:trPr>
        <w:tc>
          <w:tcPr>
            <w:tcW w:w="24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</w:t>
            </w:r>
          </w:p>
        </w:tc>
        <w:tc>
          <w:tcPr>
            <w:tcW w:w="21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2026示例基準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2027示例目標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2028示例目標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2029示例目標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年度實際開課班次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5班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7班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68÷80=85%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至少86%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至少88%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至少90%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27÷45=60%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至少62%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至少68%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3÷8=37.5%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至少40%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至少57%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240,000÷1,200,000=20%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至少25%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至少35%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指標定義、來源與驗證規則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3060"/>
        <w:gridCol w:w="2550"/>
        <w:gridCol w:w="267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指標欄位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定義與分母</w:t>
            </w:r>
          </w:p>
        </w:tc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REAL來源位置</w:t>
            </w:r>
          </w:p>
        </w:tc>
        <w:tc>
          <w:tcPr>
            <w:tcW w:w="26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填寫與驗證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開課班次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該曆年實際完成授課的班次數。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年度課程表、開課紀錄及結案資料。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角色乙記錄班次及期間；未開課規劃不列入。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年度結業人數÷年度報名人數。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報名名冊、出席紀錄與結業判定。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角色丙核對同期間、分母大於零且分子不超過分母。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有效回覆者中至少一項工作運用人數÷有效回覆數。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追蹤名冊、原始回覆與結訓日期。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角色丙另列回覆涵蓋率；不外推未回覆者或宣稱因果。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同曆年有第二次以上付費訓練的企業數÷年內服務企業數。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客戶台帳、委訓紀錄與交易憑證。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角色乙去除企業重複列計，以實際交易期間為準。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自籌訓練收入÷訓練總收入；補助、捐贈不列入自籌收入。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正式會計帳、收入分類與年度財務資料。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角色丁核對分類、期間與總帳勾稽。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逐步算例：結業率68÷80=0.85；0.85×100%=85%。90日運用率27÷45=0.60；回覆涵蓋率另以45÷68=66.2%呈現。基準比率保留小數一位，目標用整數百分比；正式報告須以原始資料和一致四捨五入口徑重算。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四 工作分解責任與時程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工作分解與責任協作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300"/>
        <w:gridCol w:w="2470"/>
        <w:gridCol w:w="241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工作包</w:t>
            </w:r>
          </w:p>
        </w:tc>
        <w:tc>
          <w:tcPr>
            <w:tcW w:w="3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具體工作</w:t>
            </w:r>
          </w:p>
        </w:tc>
        <w:tc>
          <w:tcPr>
            <w:tcW w:w="24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主責與協作</w:t>
            </w:r>
          </w:p>
        </w:tc>
        <w:tc>
          <w:tcPr>
            <w:tcW w:w="24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輸出及完成判準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需求與課程組合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核對客群及需求原件，將年度主題連到服務定位。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角色乙主責；角色甲覆核方向。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來源定位、客群、課程組合與調整理由可追溯。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課程與教師能力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設計工作情境練習、教師共備與學習檢核。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角色戊主責；角色乙確認策略連結。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實際開課有課程文件、教材及教學紀錄。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學習轉化追蹤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整理結業、90日回覆、有效樣本與工作運用資料。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角色丙主責；角色戊提供教學資料。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分子、分母、期間、來源、計算與覆核完整。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續訓與資源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檢視客戶續訓、收入分類、預算及資源風險。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角色丁核財務；角色乙整理續訓；角色甲依正式程序決策。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客戶與帳務原件勾稽，正式決議有紀錄。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示例角色與責任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4500"/>
        <w:gridCol w:w="378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角色標籤</w:t>
            </w:r>
          </w:p>
        </w:tc>
        <w:tc>
          <w:tcPr>
            <w:tcW w:w="45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責任範圍</w:t>
            </w:r>
          </w:p>
        </w:tc>
        <w:tc>
          <w:tcPr>
            <w:tcW w:w="3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覆核與授權界線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角色甲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召集策略檢討、確認方向與協作。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只有真實授權及正式決議後才可核准。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角色乙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維護地圖、核實需求、整合年度工作與修訂。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以實際工作紀錄和會議結果更新。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角色丙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維護指標口徑、來源定位、資料品質及計算覆核。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核對原始名冊、分母、期間與公式。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角色丁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核對財務分類、預算、支出及資源可用性。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以正式帳務與預算原件覆核。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角色戊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維護課程設計、教師共備、教學及學習資料。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以實際課程文件和授課紀錄覆核。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三年階段與季度里程碑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5860"/>
        <w:gridCol w:w="242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>年度階段（規劃期間：2027-01-01至2029-12-31）</w:t>
            </w:r>
          </w:p>
        </w:tc>
        <w:tc>
          <w:tcPr>
            <w:tcW w:w="58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季度行動與里程碑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決策閘門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2027 試行與建基準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第一季核實需求；第二季試行；第三季整理90日運用；第四季檢討指標與資源。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真實來源及實際預算核對前不擴大承諾。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2028 標準化與深化</w:t>
            </w:r>
          </w:p>
        </w:tc>
        <w:tc>
          <w:tcPr>
            <w:tcW w:w="58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第一季修訂標準；第二季深化組合；第三季檢視運用及續訓；第四季年度檢討。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將目標差異與口徑修訂記入決策紀錄。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2029 鞏固與接續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第一季檢視資源；第二季穩定服務；第三季檢視轉化與韌性；第四季提出下一期地圖。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下一期方向依核實資料與正式決議。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五 資源安排假設與風險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核讀的資料沒有協會預算、人力名冊或已簽約課程，因此本例只設定資源類別、責任安排與支出控制點，不填造金額、員額或第三方合作。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資源配置方式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00"/>
        <w:gridCol w:w="4300"/>
        <w:gridCol w:w="4080"/>
      </w:tblGrid>
      <w:tr>
        <w:trPr>
          <w:tblHeader w:val="true"/>
          <w:cantSplit/>
        </w:trPr>
        <w:tc>
          <w:tcPr>
            <w:tcW w:w="1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資源</w:t>
            </w:r>
          </w:p>
        </w:tc>
        <w:tc>
          <w:tcPr>
            <w:tcW w:w="4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示例配置方式</w:t>
            </w:r>
          </w:p>
        </w:tc>
        <w:tc>
          <w:tcPr>
            <w:tcW w:w="4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REAL核對點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統籌人力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角色甲召集方向；角色乙維護地圖與年度工作；角色丙負責資料；角色丁負責財務；角色戊負責課程。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以現行職務分工、授權、人力可用時數及替代人力核對。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依年度班次安排課程設計、教師共備、教材與工作情境練習。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取得實際課程成本、教師排程與核定年度計畫。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資料與追蹤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維護報名、出席、結業、90日回覆、客戶續訓及財務紀錄。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確認真實保存位置、期間、責任人和原始紀錄完整性。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本例不設定可用金額；依課程、教師、教材、追蹤與行政成本編製預算。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以正式核定預算為上限；核定前不承諾支出。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外部協作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本例未設定真實合作機構或第三方承諾。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只引用合法取得的協議或原件，不補作、不代製。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主要假設、預警門檻與應變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2180"/>
        <w:gridCol w:w="3040"/>
        <w:gridCol w:w="306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問題或風險</w:t>
            </w:r>
          </w:p>
        </w:tc>
        <w:tc>
          <w:tcPr>
            <w:tcW w:w="21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觸發條件</w:t>
            </w:r>
          </w:p>
        </w:tc>
        <w:tc>
          <w:tcPr>
            <w:tcW w:w="30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修正與責任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覆核及追蹤輸出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需求假設不成立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2027年第一季仍無真實需求來源可核對。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角色乙暫停擴大課程組合，補取原件並重排優先序。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角色甲檢視來源、方法、母數及決策理由。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結業低於示例門檻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年度結業率低於82%。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角色乙與角色戊檢視時段、先備條件、教學支持及出席。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角色丙重算同期間分母，記錄改善責任及期限。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追蹤不足或運用偏低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有效90日回覆少於30份，或回覆者運用率低於55%。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角色丙檢查追蹤流程與回覆品質，必要時調整聯繫方式。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只報告回覆者結果，不外推未回覆者；下季再檢視。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續訓未達示例底線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年度重複委訓率低於35%。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角色乙整理未續訓原因與客群適配；角色甲檢視方向。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用真實客戶與交易紀錄驗證後再決定修訂。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經費或資源風險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未取得核定預算或估算超過核定額。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角色丁暫停新增未承諾支出並重編方案。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角色甲依正式程序檢視；保存預算版本與決議。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80520A"/>
          <w:sz w:val="22"/>
          <w:szCs w:val="22"/>
          <w:lang w:val="zh-TW"/>
        </w:rPr>
        <w:t xml:space="preserve">上述門檻都是案例管理示值，不是官方規定。真實採用前，須以協會歷年基準、服務型態、合法資料及實際資源調整。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六 檢討決策與版本修訂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檢討節奏與固定輸出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00"/>
        <w:gridCol w:w="2900"/>
        <w:gridCol w:w="3150"/>
        <w:gridCol w:w="2430"/>
      </w:tblGrid>
      <w:tr>
        <w:trPr>
          <w:tblHeader w:val="true"/>
          <w:cantSplit/>
        </w:trPr>
        <w:tc>
          <w:tcPr>
            <w:tcW w:w="16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頻率</w:t>
            </w:r>
          </w:p>
        </w:tc>
        <w:tc>
          <w:tcPr>
            <w:tcW w:w="2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參與角色</w:t>
            </w:r>
          </w:p>
        </w:tc>
        <w:tc>
          <w:tcPr>
            <w:tcW w:w="31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檢視內容</w:t>
            </w:r>
          </w:p>
        </w:tc>
        <w:tc>
          <w:tcPr>
            <w:tcW w:w="24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必要輸出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每季一次</w:t>
            </w:r>
          </w:p>
        </w:tc>
        <w:tc>
          <w:tcPr>
            <w:tcW w:w="2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角色甲召集；角色乙整理；角色丙提供指標；角色丁提供資源狀況；角色戊提供課程資料。</w:t>
            </w:r>
          </w:p>
        </w:tc>
        <w:tc>
          <w:tcPr>
            <w:tcW w:w="31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里程碑、分子分母、來源、風險門檻、資源及未完成事項。</w:t>
            </w:r>
          </w:p>
        </w:tc>
        <w:tc>
          <w:tcPr>
            <w:tcW w:w="24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有來源定位的檢討紀錄、責任人、期限與修正動作。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每年第四季一次</w:t>
            </w:r>
          </w:p>
        </w:tc>
        <w:tc>
          <w:tcPr>
            <w:tcW w:w="2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同上；角色甲依真實授權程序決策。</w:t>
            </w:r>
          </w:p>
        </w:tc>
        <w:tc>
          <w:tcPr>
            <w:tcW w:w="31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本年度實績、目標差異、客戶與課程變化、財務分類及下年度方向。</w:t>
            </w:r>
          </w:p>
        </w:tc>
        <w:tc>
          <w:tcPr>
            <w:tcW w:w="24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年度檢討、核定版本、預算銜接與變更理由。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已填寫的策略決策示例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50"/>
        <w:gridCol w:w="7730"/>
      </w:tblGrid>
      <w:tr>
        <w:trPr>
          <w:tblHeader w:val="true"/>
          <w:cantSplit/>
        </w:trPr>
        <w:tc>
          <w:tcPr>
            <w:tcW w:w="23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決策欄位</w:t>
            </w:r>
          </w:p>
        </w:tc>
        <w:tc>
          <w:tcPr>
            <w:tcW w:w="77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案例甲示例紀錄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議題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是否將數位工作流程、顧客服務溝通、現場主管帶教列為試行主題。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資料與限制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三項主題只是情境假設；沒有真實需求調查、客戶合約或課程結果證明優先順序。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示例方向與理由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先形成規劃草案；取得真實需求原件與年度預算前不承諾擴班，避免把假設寫成市場結論。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責任與時點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角色乙整理真實來源；角色丙核對口徑；角色丁確認資源；預定2027年第一季檢視。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覆核與狀態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角色甲須依真實授權及正式會議程序決議。本例沒有會議紀錄、核准或簽章，僅為SAMPLE/SYNTHETIC。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追蹤輸出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保留來源名稱、日期、頁表位置、計算方式、理由、責任人、期限與修訂。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問題修正、覆核與追蹤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2850"/>
        <w:gridCol w:w="2650"/>
        <w:gridCol w:w="26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例外情況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立即處置</w:t>
            </w:r>
          </w:p>
        </w:tc>
        <w:tc>
          <w:tcPr>
            <w:tcW w:w="2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覆核方式</w:t>
            </w:r>
          </w:p>
        </w:tc>
        <w:tc>
          <w:tcPr>
            <w:tcW w:w="26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結案條件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案例數值沒有協會原始紀錄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維持SAMPLE/SYNTHETIC，不對外報作協會實績。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取得原件後角色丙重算學習指標，角色丁重算財務比率。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角色乙更新來源定位；正式檢討後決定是否替換。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分母、期間或來源不一致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暫緩比較，依口徑修正期間與資料範圍。</w:t>
            </w:r>
          </w:p>
        </w:tc>
        <w:tc>
          <w:tcPr>
            <w:tcW w:w="26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角色丙核對名冊、公式及去重規則。</w:t>
            </w:r>
          </w:p>
        </w:tc>
        <w:tc>
          <w:tcPr>
            <w:tcW w:w="26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同期間數據可重算且來源可追溯後，才解除資料品質標記。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課程或預算尚未核准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不用示例代替決議，不新增未承諾支出。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用正式會議紀錄及有效預算版本覆核。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記錄真實決議日期、版本、責任人與後續期限。</w:t>
            </w:r>
          </w:p>
        </w:tc>
      </w:tr>
      <w:t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有效期間的合法分母為0（獨立示例：2026年第二季沒有符合納入條件的調查對象）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結果列為 N/A（無可計算母體），不得列作 0% 或與數字目標比較；若分子大於0，視為資料異常並暫停使用。示例：符合對象0、有效回覆0，0/0=N/A，不併入年度基準。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角色丙核對同期間納入條件、名冊與有效回覆數，確認零母體不是漏登或來源缺漏。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記錄分子、分母、期間、來源定位與原因；以同期間正式名冊及原始回覆紀錄替換後重算。有效零分母仍列N/A並說明原因。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修訂控制：年度檢討記錄變更前後內容、來源、計算差異、提案角色、正式決議日期與生效版本。沒有真實授權文件前，不標示核准、簽名或正式生效。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七 REAL資料替換區與來源追溯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E7F2F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55C56"/>
                <w:sz w:val="20"/>
                <w:szCs w:val="20"/>
                <w:lang w:val="zh-TW"/>
              </w:rPr>
              <w:t xml:space="preserve">REAL資料替換區｜下列內容列明應取得的原件與替換方式；前述案例值不得升格為實績，且不以空白表格充當完成成果。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逐項取得原件後更新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50"/>
        <w:gridCol w:w="3570"/>
        <w:gridCol w:w="2810"/>
        <w:gridCol w:w="1950"/>
      </w:tblGrid>
      <w:tr>
        <w:trPr>
          <w:tblHeader w:val="true"/>
          <w:cantSplit/>
        </w:trPr>
        <w:tc>
          <w:tcPr>
            <w:tcW w:w="17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資料項目</w:t>
            </w:r>
          </w:p>
        </w:tc>
        <w:tc>
          <w:tcPr>
            <w:tcW w:w="35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需取得的真實原件</w:t>
            </w:r>
          </w:p>
        </w:tc>
        <w:tc>
          <w:tcPr>
            <w:tcW w:w="28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更新位置與責任</w:t>
            </w:r>
          </w:p>
        </w:tc>
        <w:tc>
          <w:tcPr>
            <w:tcW w:w="19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核對規則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機構定位與客群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有效登記文件、章程、正式發展方向、目標客戶定義及客戶紀錄。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更新第2至3節；角色乙整理，角色甲依正式程序覆核。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核對名稱、日期、版本、原文頁次與客群定義。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市場需求與策略主題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合法取得的需求調查原件、方法、樣本母數、客戶回饋及決策紀錄。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更新需求假設與第3節；問卷題目及樣本結果由問卷文件呈現。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記錄期間、母數、回收數、有效數與限制，不把假設改成結論。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課程與學習結果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正式課程計畫、開課、報名、出席、結業、學習檢核與追蹤原始回覆。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更新第2、4、5節；角色丙重算，角色戊核課程。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公式、期間、分子、分母、排除條件與來源位置可重算。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客戶續訓與財務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委訓紀錄、客戶台帳、交易憑證、總帳、收入分類及核定預算。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更新第2、4、6節；角色丁核財務，角色乙核客戶。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同期間同收入定義；補助捐贈依正式會計分類處理。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角色、授權與正式決議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現行組織分工、職務授權、正式會議紀錄及有效版本。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更新第5至7節；只填真實職務、姓名、決議日期和期限。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簽章、核准與真人參與只依合法原件核實。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第三方合作與外部事實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第三方正式協議、核准函、證書或合法提供的原始證明。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取得原件後再列索引；案例沒有外部合作或第三方成果。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只引用可合法核對的原件，不仿製、不補作、不冒充。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官方要求與本圖欄位追溯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60"/>
        <w:gridCol w:w="2520"/>
        <w:gridCol w:w="2780"/>
        <w:gridCol w:w="2420"/>
      </w:tblGrid>
      <w:tr>
        <w:trPr>
          <w:tblHeader w:val="true"/>
          <w:cantSplit/>
        </w:trPr>
        <w:tc>
          <w:tcPr>
            <w:tcW w:w="23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官方依據</w:t>
            </w:r>
          </w:p>
        </w:tc>
        <w:tc>
          <w:tcPr>
            <w:tcW w:w="25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本圖對應內容</w:t>
            </w:r>
          </w:p>
        </w:tc>
        <w:tc>
          <w:tcPr>
            <w:tcW w:w="2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可核對欄位或輸出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REAL來源定位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「中長程的業務發展規劃策略地圖。」及佐證表列出的定位</w:t>
            </w:r>
          </w:p>
        </w:tc>
        <w:tc>
          <w:tcPr>
            <w:tcW w:w="2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首頁原文框；第2至7節策略、目標、工作、風險與檢討。</w:t>
            </w:r>
          </w:p>
        </w:tc>
        <w:tc>
          <w:tcPr>
            <w:tcW w:w="2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定位與客群、因果路徑、三年目標、責任、里程碑、資源及修訂。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TTQS查核佐證文件資料表（訓練機構版）第1頁；實際來源另記正式名稱與頁表。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評核表第1頁第1項「訓練機構未來經營方向及目標之訂定」；內涵包括未來方向、營運計畫、機構定位及目標客戶。</w:t>
            </w:r>
          </w:p>
        </w:tc>
        <w:tc>
          <w:tcPr>
            <w:tcW w:w="25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第2節界定定位與客群；第3節說明策略路徑；第5至7節連到年度工作、責任及檢討。</w:t>
            </w:r>
          </w:p>
        </w:tc>
        <w:tc>
          <w:tcPr>
            <w:tcW w:w="2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來源、填寫角色、驗證規則、理由、覆核及後續行動。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TTQS人才發展品質管理評核表（訓練機構版）第1頁；協會原件由協會提供。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範圍界線：本件呈現中長程方向、因果路徑、責任、時間與調整依據；不代替目標市場需求調查問卷，也不重製《策略因果鏈與三年KPI對照表》的逐項指標明細。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版本與限制：本件為策略規劃示例，沒有協會真實資料、正式授權、核准或簽章。取得原件後，逐欄替換、重算指標、記錄版本與決議；第三方證據只能由合法來源取得。</w:t>
      </w:r>
    </w:p>
    <w:sectPr>
      <w:pgSz w:w="11906" w:h="16838"/>
      <w:pgMar w:top="900" w:right="910" w:bottom="900" w:left="910" w:header="450" w:footer="450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  <w:lang w:val="zh-TW"/>
      </w:rPr>
    </w:rPrDefault>
    <w:pPrDefault>
      <w:pPr>
        <w:spacing w:after="90" w:line="276" w:lineRule="auto"/>
      </w:pPr>
    </w:pPrDefault>
  </w:docDefaults>
  <w:style w:type="paragraph" w:default="1" w:styleId="Normal">
    <w:name w:val="Normal"/>
    <w:qFormat/>
    <w:rPr>
      <w:rFonts w:ascii="Microsoft JhengHei" w:hAnsi="Microsoft JhengHei" w:eastAsia="Microsoft JhengHei" w:cs="Microsoft JhengHei"/>
      <w:sz w:val="22"/>
      <w:szCs w:val="22"/>
    </w:rPr>
    <w:pPr>
      <w:spacing w:after="90" w:line="276" w:lineRule="auto"/>
    </w:pPr>
  </w:style>
  <w:style w:type="paragraph" w:styleId="Title">
    <w:name w:val="Title"/>
    <w:basedOn w:val="Normal"/>
    <w:next w:val="Subtitle"/>
    <w:qFormat/>
    <w:pPr>
      <w:keepNext/>
      <w:spacing w:after="90"/>
    </w:pPr>
    <w:rPr>
      <w:rFonts w:ascii="Microsoft JhengHei" w:hAnsi="Microsoft JhengHei" w:eastAsia="Microsoft JhengHei"/>
      <w:b/>
      <w:color w:val="000000"/>
      <w:sz w:val="48"/>
      <w:szCs w:val="48"/>
    </w:rPr>
  </w:style>
  <w:style w:type="paragraph" w:styleId="Subtitle">
    <w:name w:val="Subtitle"/>
    <w:basedOn w:val="Normal"/>
    <w:rPr>
      <w:rFonts w:ascii="Microsoft JhengHei" w:hAnsi="Microsoft JhengHei" w:eastAsia="Microsoft JhengHei"/>
      <w:color w:val="176B73"/>
      <w:sz w:val="27"/>
      <w:szCs w:val="27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180" w:after="100"/>
    </w:pPr>
    <w:rPr>
      <w:rFonts w:ascii="Microsoft JhengHei" w:hAnsi="Microsoft JhengHei" w:eastAsia="Microsoft JhengHei"/>
      <w:b/>
      <w:color w:val="114A5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120" w:after="65"/>
    </w:pPr>
    <w:rPr>
      <w:rFonts w:ascii="Microsoft JhengHei" w:hAnsi="Microsoft JhengHei" w:eastAsia="Microsoft JhengHei"/>
      <w:b/>
      <w:color w:val="176B7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/>
</Properties>
</file>

<file path=docProps/core.xml><?xml version="1.0" encoding="utf-8"?>
<cp:coreProperties xmlns:cp="http://schemas.openxmlformats.org/package/2006/metadata/core-properties" xmlns:dc="http://purl.org/dc/elements/1.1/" xmlns:xsi="http://www.w3.org/2001/XMLSchema-instance">
  <dc:title>中長程業務發展策略地圖</dc:title>
  <dc:subject>三年策略、行動與年度檢視</dc:subject>
  <dc:creator>策略規劃示例</dc:creator>
  <cp:keywords>策略地圖, SAMPLE/SYNTHETIC</cp:keywords>
  <dcterms:modified xmlns:dcterms="http://purl.org/dc/terms/" xsi:type="dcterms:W3CDTF">2026-10-02T17:49:31Z</dcterms:modified>
</cp:coreProperties>
</file>