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80" w:line="320" w:lineRule="auto"/>
        <w:jc w:val="center"/>
        <w:keepNext/>
      </w:pPr>
      <w:r>
        <w:rPr>
          <w:rFonts w:ascii="Aptos" w:hAnsi="Aptos" w:eastAsia="Microsoft JhengHei" w:cs="Aptos"/>
          <w:sz w:val="48"/>
          <w:szCs w:val="48"/>
          <w:color w:val="12364A"/>
          <w:b/>
          <w:bCs/>
          <w:lang w:val="zh-TW" w:eastAsia="zh-TW"/>
        </w:rPr>
        <w:t xml:space="preserve">訓練班級完整結案報告</w:t>
      </w:r>
    </w:p>
    <w:p>
      <w:pPr>
        <w:pStyle w:val="Normal"/>
        <w:spacing w:after="140" w:line="320" w:lineRule="auto"/>
        <w:jc w:val="center"/>
      </w:pPr>
      <w:r>
        <w:rPr>
          <w:rFonts w:ascii="Aptos" w:hAnsi="Aptos" w:eastAsia="Microsoft JhengHei" w:cs="Aptos"/>
          <w:sz w:val="22"/>
          <w:szCs w:val="22"/>
          <w:color w:val="7A4B00"/>
          <w:b/>
          <w:bCs/>
          <w:lang w:val="zh-TW" w:eastAsia="zh-TW"/>
        </w:rPr>
        <w:t xml:space="preserve">完整工作示例｜SAMPLE/SYNTHETIC｜不代表本機構實績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用途：供執行人員、主管與評核閱讀者在單一訓練班結束後、結案覆核及歸檔前使用。依名冊、出席、資源、財務與成效資料逐項核對，形成結案判定、差異追蹤、改善責任及可追溯的證據索引。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快速使用摘要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300"/>
        <w:gridCol w:w="7500"/>
      </w:tblGrid>
      <w:tr>
        <w:trPr>
          <w:tblHeader/>
          <w:cantSplit/>
        </w:trPr>
        <w:tc>
          <w:tcPr>
            <w:tcW w:w="23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項目</w:t>
            </w:r>
          </w:p>
        </w:tc>
        <w:tc>
          <w:tcPr>
            <w:tcW w:w="75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本件說明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讀者與時點</w:t>
            </w:r>
          </w:p>
        </w:tc>
        <w:tc>
          <w:tcPr>
            <w:tcW w:w="7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執行人員、主管及評核閱讀者；單一班次結束後、結案覆核與歸檔前。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操作與輸出</w:t>
            </w:r>
          </w:p>
        </w:tc>
        <w:tc>
          <w:tcPr>
            <w:tcW w:w="7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核對名冊、課時、資源、金額與成果；輸出結案摘要、核算、檢討改善及真實原件替換清單。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資料狀態</w:t>
            </w:r>
          </w:p>
        </w:tc>
        <w:tc>
          <w:tcPr>
            <w:tcW w:w="7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全篇班期、角色、日期、金額及成果均為 SAMPLE/SYNTHETIC 示例資料。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官方要求原文｜來源依據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9800"/>
      </w:tblGrid>
      <w:tr>
        <w:trPr>
          <w:tblHeader/>
          <w:cantSplit/>
        </w:trPr>
        <w:tc>
          <w:tcPr>
            <w:tcW w:w="98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官方查核佐證表｜第 5 頁｜I15-E02</w:t>
            </w:r>
          </w:p>
        </w:tc>
      </w:tr>
      <w:tr>
        <w:tc>
          <w:tcPr>
            <w:tcW w:w="98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訓練的結案報告，包括資源的運用、財務的支配、訓練成果的展現、檢討及改進的方法。</w:t>
            </w:r>
          </w:p>
        </w:tc>
      </w:tr>
    </w:tbl>
    <w:p>
      <w:pPr>
        <w:pStyle w:val="Normal"/>
        <w:spacing w:after="180" w:line="320" w:lineRule="auto"/>
      </w:pPr>
      <w:r>
        <w:rPr>
          <w:rFonts w:ascii="Aptos" w:hAnsi="Aptos" w:eastAsia="Microsoft JhengHei" w:cs="Aptos"/>
          <w:sz w:val="22"/>
          <w:szCs w:val="22"/>
          <w:color w:val="5B6470"/>
          <w:lang w:val="zh-TW" w:eastAsia="zh-TW"/>
        </w:rPr>
        <w:t xml:space="preserve">上方藍底框為官方要求原文；以下琥珀色標示的班級案例則是完整合成示例，兩者用途不同。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1. 紀錄目的、責任與適用界線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本報告按單一訓練班收束資源運用、財務支配、訓練成果、檢討與改進，讓執行人員能回查形成資料，主管能覆核算法與差異，評核閱讀者能定位證據。本報告是班級結案彙整，不取代名冊、簽到、帳務憑證、原始評量或第三方正式文件。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示例責任分工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700"/>
        <w:gridCol w:w="4200"/>
        <w:gridCol w:w="3900"/>
      </w:tblGrid>
      <w:tr>
        <w:trPr>
          <w:tblHeader/>
          <w:cantSplit/>
        </w:trPr>
        <w:tc>
          <w:tcPr>
            <w:tcW w:w="17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角色標籤</w:t>
            </w:r>
          </w:p>
        </w:tc>
        <w:tc>
          <w:tcPr>
            <w:tcW w:w="42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示例職責</w:t>
            </w:r>
          </w:p>
        </w:tc>
        <w:tc>
          <w:tcPr>
            <w:tcW w:w="39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真實替換時的核對</w:t>
            </w:r>
          </w:p>
        </w:tc>
      </w:tr>
      <w:tr>
        <w:tc>
          <w:tcPr>
            <w:tcW w:w="1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承辦人A</w:t>
            </w:r>
          </w:p>
        </w:tc>
        <w:tc>
          <w:tcPr>
            <w:tcW w:w="4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彙整班期、名冊、時數、資源、費用與成效；逐項重算並建立附件索引。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以真實職務分派、經手紀錄及原件定位替換；本例未指稱真人。</w:t>
            </w:r>
          </w:p>
        </w:tc>
      </w:tr>
      <w:tr>
        <w:tc>
          <w:tcPr>
            <w:tcW w:w="1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講師A</w:t>
            </w:r>
          </w:p>
        </w:tc>
        <w:tc>
          <w:tcPr>
            <w:tcW w:w="4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提供課程執行與學習評量彙整。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以真實課程紀錄、評量原件及實際職務資料替換；本例無簽名或證書。</w:t>
            </w:r>
          </w:p>
        </w:tc>
      </w:tr>
      <w:tr>
        <w:tc>
          <w:tcPr>
            <w:tcW w:w="1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主管A</w:t>
            </w:r>
          </w:p>
        </w:tc>
        <w:tc>
          <w:tcPr>
            <w:tcW w:w="4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覆核來源定位、加總、差異與改善追蹤。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以真實覆核紀錄替換；本例不表示已核准或簽章。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適用界線：本件呈現單一班級完整結案結果。定期性綜合檢討或管理審查的正式會議紀錄，應由該會議原件證明；跨班訓練評估指標與相關統計分析，應由其專屬分析報告證明。本件不合併或代替 I15-E01、I15-E03 的事實。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2. 官方要求拆解與證明路徑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依官方要求，本報告把班級結案證據連到資源、財務、成果、檢討與改進五個部分。原始資料應先形成，再由承辦人彙整；結論只涵蓋可核對的班級範圍。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官方要求至報告欄位的追溯表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900"/>
        <w:gridCol w:w="3600"/>
        <w:gridCol w:w="4300"/>
      </w:tblGrid>
      <w:tr>
        <w:trPr>
          <w:tblHeader/>
          <w:cantSplit/>
        </w:trPr>
        <w:tc>
          <w:tcPr>
            <w:tcW w:w="19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要求面向</w:t>
            </w:r>
          </w:p>
        </w:tc>
        <w:tc>
          <w:tcPr>
            <w:tcW w:w="36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本報告位置</w:t>
            </w:r>
          </w:p>
        </w:tc>
        <w:tc>
          <w:tcPr>
            <w:tcW w:w="43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轉為 REAL 時核對的原件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資源運用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第 5 節：人力、場地、設備與教材使用量。</w:t>
            </w:r>
          </w:p>
        </w:tc>
        <w:tc>
          <w:tcPr>
            <w:tcW w:w="4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課程表、場地設備使用紀錄、人力派任及教材領用紀錄。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財務支配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第 6 節：預算、實際支出、差額與使用率。</w:t>
            </w:r>
          </w:p>
        </w:tc>
        <w:tc>
          <w:tcPr>
            <w:tcW w:w="4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核定預算、帳務明細、合法取得的原始憑證及核銷紀錄。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訓練成果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第 7 節：完成情形、前後測、實作檢核與回饋。</w:t>
            </w:r>
          </w:p>
        </w:tc>
        <w:tc>
          <w:tcPr>
            <w:tcW w:w="4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真實名冊、出席時數、匿名化評量彙總及原始問卷。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檢討與改進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第 8 至 10 節：發現、決策、責任、期限、驗證與更正軌跡。</w:t>
            </w:r>
          </w:p>
        </w:tc>
        <w:tc>
          <w:tcPr>
            <w:tcW w:w="4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真實檢討紀錄、改善追蹤、覆核紀錄及其附件定位。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樣例中的「本報告第 X 節」是內部定位，不代表已存在外部原件。真實版須把每個結論連到合法取得、可核對的原始資料。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3. 來源、形成時點與納入規則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以下案例以一個完整班級作示範。它沒有引用真人班級資料、第三方收據、簽章或證書。示例日期、角色及數值只用來演示欄位、計算和覆核步驟，不代表本機構曾辦訓或發生相關支出。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完整班級合成紀錄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500"/>
        <w:gridCol w:w="7300"/>
      </w:tblGrid>
      <w:tr>
        <w:trPr>
          <w:tblHeader/>
          <w:cantSplit/>
        </w:trPr>
        <w:tc>
          <w:tcPr>
            <w:tcW w:w="25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欄位</w:t>
            </w:r>
          </w:p>
        </w:tc>
        <w:tc>
          <w:tcPr>
            <w:tcW w:w="73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SAMPLE/SYNTHETIC 完整值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班級識別</w:t>
            </w:r>
          </w:p>
        </w:tc>
        <w:tc>
          <w:tcPr>
            <w:tcW w:w="7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樣例班級甲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訓練名稱</w:t>
            </w:r>
          </w:p>
        </w:tc>
        <w:tc>
          <w:tcPr>
            <w:tcW w:w="7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職場協作與溝通演練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訓練日期與時數</w:t>
            </w:r>
          </w:p>
        </w:tc>
        <w:tc>
          <w:tcPr>
            <w:tcW w:w="7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2026-09-14 至 2026-09-15；2 日，每日 6 小時，合計 12 小時。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報告形成日期</w:t>
            </w:r>
          </w:p>
        </w:tc>
        <w:tc>
          <w:tcPr>
            <w:tcW w:w="7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2026-09-18。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人數與判定</w:t>
            </w:r>
          </w:p>
        </w:tc>
        <w:tc>
          <w:tcPr>
            <w:tcW w:w="7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登錄 12 人；完成 11 人；未完成 1 人。示例完成門檻為至少 10 小時；未完成者出席 5 小時。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納入規則</w:t>
            </w:r>
          </w:p>
        </w:tc>
        <w:tc>
          <w:tcPr>
            <w:tcW w:w="7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完成率分母採本班全部 12 名登錄學員；前後測只計 11 份完整配對；實作檢核分母採 11 名完成者。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示例來源限制</w:t>
            </w:r>
          </w:p>
        </w:tc>
        <w:tc>
          <w:tcPr>
            <w:tcW w:w="7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本報告中的彙總值是合成案例；未附簽到表、原始答卷、帳冊、收據或第三方文件。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形成順序：先界定班期與納入範圍，再核對資源與財務明細，接著計算成果指標，最後記錄例外、決策、責任和真實附件位置。沒有來源支持的欄位不得升列為 REAL。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4. 欄位定義與示例填寫列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班級結案欄位定義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600"/>
        <w:gridCol w:w="2800"/>
        <w:gridCol w:w="2700"/>
        <w:gridCol w:w="2700"/>
      </w:tblGrid>
      <w:tr>
        <w:trPr>
          <w:tblHeader/>
          <w:cantSplit/>
        </w:trPr>
        <w:tc>
          <w:tcPr>
            <w:tcW w:w="16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欄位</w:t>
            </w:r>
          </w:p>
        </w:tc>
        <w:tc>
          <w:tcPr>
            <w:tcW w:w="28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定義</w:t>
            </w:r>
          </w:p>
        </w:tc>
        <w:tc>
          <w:tcPr>
            <w:tcW w:w="27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示例來源／填寫者</w:t>
            </w:r>
          </w:p>
        </w:tc>
        <w:tc>
          <w:tcPr>
            <w:tcW w:w="27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驗證規則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班期識別</w:t>
            </w:r>
          </w:p>
        </w:tc>
        <w:tc>
          <w:tcPr>
            <w:tcW w:w="28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用來把所有資料綁定到同一班次。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樣例班級甲；承辦人A。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名稱、日期與課程表一致。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參訓及完成</w:t>
            </w:r>
          </w:p>
        </w:tc>
        <w:tc>
          <w:tcPr>
            <w:tcW w:w="28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全體登錄、完成與未完成的人數及時數。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示例名冊與時數彙整；承辦人A。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完成加未完成等於登錄；逐人套用同一門檻。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資源使用</w:t>
            </w:r>
          </w:p>
        </w:tc>
        <w:tc>
          <w:tcPr>
            <w:tcW w:w="28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人力、場地、設備與教材的實際使用量。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示例資源彙整；講師A提供課程執行資料。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數量乘使用期間，並與課程日期相符。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財務支配</w:t>
            </w:r>
          </w:p>
        </w:tc>
        <w:tc>
          <w:tcPr>
            <w:tcW w:w="28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各用途的預算、執行金額及差額。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示例分類彙總；承辦人A。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逐類加總；差額按預算減實際計算。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訓練成果</w:t>
            </w:r>
          </w:p>
        </w:tc>
        <w:tc>
          <w:tcPr>
            <w:tcW w:w="28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學員完成情形、學習變化、實作表現及回饋。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示例匿名彙總；講師A提供評量摘要。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標明量尺、分子、分母、缺漏及解讀限制。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檢討與改進</w:t>
            </w:r>
          </w:p>
        </w:tc>
        <w:tc>
          <w:tcPr>
            <w:tcW w:w="28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從證據得出的發現、處置責任、期限與成效驗證。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示例檢討；承辦人A彙整，主管A覆核。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每項行動都有來源、責任、期限及可重算指標。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證據位置</w:t>
            </w:r>
          </w:p>
        </w:tc>
        <w:tc>
          <w:tcPr>
            <w:tcW w:w="28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讓讀者定位支持結論的原始文件或報告表格。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本例定位到本報告表格；無外部原件。</w:t>
            </w:r>
          </w:p>
        </w:tc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真實版記錄真實檔名、頁次或系統位置。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14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示例填寫完整列：樣例班級甲於 2026-09-14 至 2026-09-15 完成 12 小時課程，12 人登錄、11 人達成示例門檻；場地、講師、承辦人、設備、教材、費用、學習結果與改善行動均在後續分節分列，且都標示為合成示例。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5. 資源運用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資源數量以本班兩日課程期間計，僅呈現使用量，不推論設備所有權或人員真實身分。真實結案時應把每項使用量連到課程表、派任、領用或設備紀錄。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SAMPLE/SYNTHETIC 資源明細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000"/>
        <w:gridCol w:w="1700"/>
        <w:gridCol w:w="2500"/>
        <w:gridCol w:w="3600"/>
      </w:tblGrid>
      <w:tr>
        <w:trPr>
          <w:tblHeader/>
          <w:cantSplit/>
        </w:trPr>
        <w:tc>
          <w:tcPr>
            <w:tcW w:w="20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資源</w:t>
            </w:r>
          </w:p>
        </w:tc>
        <w:tc>
          <w:tcPr>
            <w:tcW w:w="17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使用量</w:t>
            </w:r>
          </w:p>
        </w:tc>
        <w:tc>
          <w:tcPr>
            <w:tcW w:w="25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期間或範圍</w:t>
            </w:r>
          </w:p>
        </w:tc>
        <w:tc>
          <w:tcPr>
            <w:tcW w:w="36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示例覆核方式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訓練場地</w:t>
            </w:r>
          </w:p>
        </w:tc>
        <w:tc>
          <w:tcPr>
            <w:tcW w:w="1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 間</w:t>
            </w:r>
          </w:p>
        </w:tc>
        <w:tc>
          <w:tcPr>
            <w:tcW w:w="2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2 日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核對場地預約及課程時段。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講師人力</w:t>
            </w:r>
          </w:p>
        </w:tc>
        <w:tc>
          <w:tcPr>
            <w:tcW w:w="1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 個角色</w:t>
            </w:r>
          </w:p>
        </w:tc>
        <w:tc>
          <w:tcPr>
            <w:tcW w:w="2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12 小時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核對授課時數與課程表。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承辦人力</w:t>
            </w:r>
          </w:p>
        </w:tc>
        <w:tc>
          <w:tcPr>
            <w:tcW w:w="1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 個角色</w:t>
            </w:r>
          </w:p>
        </w:tc>
        <w:tc>
          <w:tcPr>
            <w:tcW w:w="2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2 日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核對班務工作紀錄。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投影設備</w:t>
            </w:r>
          </w:p>
        </w:tc>
        <w:tc>
          <w:tcPr>
            <w:tcW w:w="1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 台</w:t>
            </w:r>
          </w:p>
        </w:tc>
        <w:tc>
          <w:tcPr>
            <w:tcW w:w="2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2 日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核對設備使用紀錄。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教材</w:t>
            </w:r>
          </w:p>
        </w:tc>
        <w:tc>
          <w:tcPr>
            <w:tcW w:w="1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12 套</w:t>
            </w:r>
          </w:p>
        </w:tc>
        <w:tc>
          <w:tcPr>
            <w:tcW w:w="2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按登錄人數配置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核對教材印製或領用數。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資源使用判讀：本例的教材配置量等於登錄人數；場地、設備及人力期間涵蓋兩個訓練日。這只是欄位一致性示例，轉為 REAL 時須以原始使用紀錄重核，不得把合成數量當成實績。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6. 財務支配與差異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金額單位為新臺幣。表中預算與執行金額皆是示例彙總，不對應實際會計帳或憑證。正式版須按原始預算、帳務與憑證逐筆核對；本例沒有仿製或附上任何第三方收據。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SAMPLE/SYNTHETIC 費用彙總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600"/>
        <w:gridCol w:w="2400"/>
        <w:gridCol w:w="2400"/>
        <w:gridCol w:w="2400"/>
      </w:tblGrid>
      <w:tr>
        <w:trPr>
          <w:tblHeader/>
          <w:cantSplit/>
        </w:trPr>
        <w:tc>
          <w:tcPr>
            <w:tcW w:w="26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用途</w:t>
            </w:r>
          </w:p>
        </w:tc>
        <w:tc>
          <w:tcPr>
            <w:tcW w:w="24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示例預算（元）</w:t>
            </w:r>
          </w:p>
        </w:tc>
        <w:tc>
          <w:tcPr>
            <w:tcW w:w="24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示例執行（元）</w:t>
            </w:r>
          </w:p>
        </w:tc>
        <w:tc>
          <w:tcPr>
            <w:tcW w:w="24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預算減執行（元）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場地使用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6,000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6,000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講師費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12,000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12,000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教材印製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2,400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2,100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300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茶水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3,600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3,300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300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合計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24,000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23,400</w:t>
            </w:r>
          </w:p>
        </w:tc>
        <w:tc>
          <w:tcPr>
            <w:tcW w:w="2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600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計算與判讀：示例預算合計為 6,000 + 12,000 + 2,400 + 3,600 = 24,000 元；示例執行合計為 6,000 + 12,000 + 2,100 + 3,300 = 23,400 元。未支用差額 = 24,000 − 23,400 = 600 元；預算使用率 = 23,400 ÷ 24,000 × 100% = 97.5%。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以 11 名完成者計算的示例單人成本 = 23,400 ÷ 11 = 2,127.27 元（四捨五入至小數第 2 位）。這只是示例單位成本，不能替代正式帳務口徑；真實版須先確認可歸屬費用及完成者分母。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7. 訓練成果展現與限制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本例以同一批完成者的前後自評、實作檢核與課後回饋展示訓練成果。自評是主觀量尺，實作檢核是示例課程任務表現；兩者都只描述本例資料，不宣稱因果效果，也不代表跨班統計。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SAMPLE/SYNTHETIC 成效計算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900"/>
        <w:gridCol w:w="3900"/>
        <w:gridCol w:w="1900"/>
        <w:gridCol w:w="2100"/>
      </w:tblGrid>
      <w:tr>
        <w:trPr>
          <w:tblHeader/>
          <w:cantSplit/>
        </w:trPr>
        <w:tc>
          <w:tcPr>
            <w:tcW w:w="19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指標</w:t>
            </w:r>
          </w:p>
        </w:tc>
        <w:tc>
          <w:tcPr>
            <w:tcW w:w="39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分子、分母與公式</w:t>
            </w:r>
          </w:p>
        </w:tc>
        <w:tc>
          <w:tcPr>
            <w:tcW w:w="19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示例結果</w:t>
            </w:r>
          </w:p>
        </w:tc>
        <w:tc>
          <w:tcPr>
            <w:tcW w:w="21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解讀限制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完成率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11 名完成者 ÷ 12 名登錄者 × 100%。</w:t>
            </w:r>
          </w:p>
        </w:tc>
        <w:tc>
          <w:tcPr>
            <w:tcW w:w="1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91.7%</w:t>
            </w:r>
          </w:p>
        </w:tc>
        <w:tc>
          <w:tcPr>
            <w:tcW w:w="2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完成門檻為至少 10 小時；未完成者不列入完成者。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應用信心自評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 至 5 分；前測總分 33 ÷ 11 份 = 3.0；後測總分 44 ÷ 同 11 份 = 4.0；差值 = 4.0 − 3.0。</w:t>
            </w:r>
          </w:p>
        </w:tc>
        <w:tc>
          <w:tcPr>
            <w:tcW w:w="1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平均增加 1.0 分。</w:t>
            </w:r>
          </w:p>
        </w:tc>
        <w:tc>
          <w:tcPr>
            <w:tcW w:w="2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只有完整配對的 11 份；自評變化不能證明因果。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實作檢核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4 項準則，每項 0 或 1 分；至少 3 分達標；9 人達標 ÷ 11 名完成者 × 100%。</w:t>
            </w:r>
          </w:p>
        </w:tc>
        <w:tc>
          <w:tcPr>
            <w:tcW w:w="1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81.8% 達標。</w:t>
            </w:r>
          </w:p>
        </w:tc>
        <w:tc>
          <w:tcPr>
            <w:tcW w:w="2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只呈現本例單一班級；須以真實評量表重算。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練習時間回饋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7 人提出希望增加練習時間 ÷ 11 份回饋 × 100%。</w:t>
            </w:r>
          </w:p>
        </w:tc>
        <w:tc>
          <w:tcPr>
            <w:tcW w:w="1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63.6%。</w:t>
            </w:r>
          </w:p>
        </w:tc>
        <w:tc>
          <w:tcPr>
            <w:tcW w:w="2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回饋反映學員感受，不等同學習成效。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自評原始彙總：前測總分 33 分、後測總分 44 分，兩次都是 11 份完整配對；前測平均為 33 ÷ 11 = 3.0 分，後測平均為 44 ÷ 11 = 4.0 分，平均變化為 +1.0 分。實作達標率 81.8% 低於本例下期檢視目標 85%，因此列入改善追蹤。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8. 檢討、決策與改善追蹤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示例檢討日期為 2026-09-18。檢討以本報告中的回饋、時數與成果彙總為依據；以下行動是示例決策，不表示已在真實機構執行。追蹤完成後，應以真實行動紀錄更新狀態及附件定位。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SAMPLE/SYNTHETIC 發現與行動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700"/>
        <w:gridCol w:w="3500"/>
        <w:gridCol w:w="3600"/>
      </w:tblGrid>
      <w:tr>
        <w:trPr>
          <w:tblHeader/>
          <w:cantSplit/>
        </w:trPr>
        <w:tc>
          <w:tcPr>
            <w:tcW w:w="27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發現與證據</w:t>
            </w:r>
          </w:p>
        </w:tc>
        <w:tc>
          <w:tcPr>
            <w:tcW w:w="35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示例決策</w:t>
            </w:r>
          </w:p>
        </w:tc>
        <w:tc>
          <w:tcPr>
            <w:tcW w:w="36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責任、期限及驗證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7/11 份回饋（63.6%）希望增加練習時間；實作達標率 9/11（81.8%）。</w:t>
            </w:r>
          </w:p>
        </w:tc>
        <w:tc>
          <w:tcPr>
            <w:tcW w:w="3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下期課程增加 30 分鐘分組案例演練，預先準備案例工作紙。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承辦人A；示例目標日期 2026-10-15；下期以相同 4 項實作準則核算達標率，目標至少 85%。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 名登錄者未達至少 10 小時門檻，示例出席為 5 小時；已排除於完成者分母。</w:t>
            </w:r>
          </w:p>
        </w:tc>
        <w:tc>
          <w:tcPr>
            <w:tcW w:w="3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保持完成判定一致，提供補訓選項並記錄學員回覆；不得把未完成改列完成。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承辦人A；示例追蹤期限 2026-09-25；保存真實聯繫與後續處置紀錄。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示例執行金額較預算少 600 元，其中教材與茶水各少 300 元。</w:t>
            </w:r>
          </w:p>
        </w:tc>
        <w:tc>
          <w:tcPr>
            <w:tcW w:w="3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真實版先核對原始憑證與分類；下次估算以實際需求及核實價格更新。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承辦人A；於下次預算編列前檢視；保留估算差異與修正依據。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改善判斷：本例對多數回饋要求增加練習採取具體課程設計措施，並設定下期可重算的實作指標。未完成學員另列個別追蹤，不混入完成人數。金額差異目前只表示低於示例預算，需以真實憑證判讀原因。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9. 核對、計算與一致性判定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示例覆核步驟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100"/>
        <w:gridCol w:w="4100"/>
        <w:gridCol w:w="3600"/>
      </w:tblGrid>
      <w:tr>
        <w:trPr>
          <w:tblHeader/>
          <w:cantSplit/>
        </w:trPr>
        <w:tc>
          <w:tcPr>
            <w:tcW w:w="21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核對項目</w:t>
            </w:r>
          </w:p>
        </w:tc>
        <w:tc>
          <w:tcPr>
            <w:tcW w:w="41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重算方式</w:t>
            </w:r>
          </w:p>
        </w:tc>
        <w:tc>
          <w:tcPr>
            <w:tcW w:w="36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一致性結果</w:t>
            </w:r>
          </w:p>
        </w:tc>
      </w:tr>
      <w:tr>
        <w:tc>
          <w:tcPr>
            <w:tcW w:w="2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班級人數</w:t>
            </w:r>
          </w:p>
        </w:tc>
        <w:tc>
          <w:tcPr>
            <w:tcW w:w="4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12 名登錄 = 11 名完成 + 1 名未完成；11 ÷ 12 = 91.7%。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加總一致；未完成者未列入完成者。</w:t>
            </w:r>
          </w:p>
        </w:tc>
      </w:tr>
      <w:tr>
        <w:tc>
          <w:tcPr>
            <w:tcW w:w="2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訓練時數</w:t>
            </w:r>
          </w:p>
        </w:tc>
        <w:tc>
          <w:tcPr>
            <w:tcW w:w="4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2 日 × 每日 6 小時 = 12 小時；未完成者 5 小時 &lt; 10 小時門檻。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時數與示例完成判定一致。</w:t>
            </w:r>
          </w:p>
        </w:tc>
      </w:tr>
      <w:tr>
        <w:tc>
          <w:tcPr>
            <w:tcW w:w="2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財務總額</w:t>
            </w:r>
          </w:p>
        </w:tc>
        <w:tc>
          <w:tcPr>
            <w:tcW w:w="4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預算四類合計 24,000 元；執行四類合計 23,400 元；差額 600 元。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分類加總一致；使用率 97.5%。</w:t>
            </w:r>
          </w:p>
        </w:tc>
      </w:tr>
      <w:tr>
        <w:tc>
          <w:tcPr>
            <w:tcW w:w="2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自評配對</w:t>
            </w:r>
          </w:p>
        </w:tc>
        <w:tc>
          <w:tcPr>
            <w:tcW w:w="4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前後測均為 11 份；33 ÷ 11 = 3.0、44 ÷ 11 = 4.0。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配對分母一致；平均變化 +1.0 分。</w:t>
            </w:r>
          </w:p>
        </w:tc>
      </w:tr>
      <w:tr>
        <w:tc>
          <w:tcPr>
            <w:tcW w:w="2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實作及回饋</w:t>
            </w:r>
          </w:p>
        </w:tc>
        <w:tc>
          <w:tcPr>
            <w:tcW w:w="4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達標 9/11 = 81.8%；增加練習回饋 7/11 = 63.6%。</w:t>
            </w:r>
          </w:p>
        </w:tc>
        <w:tc>
          <w:tcPr>
            <w:tcW w:w="36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分子未超過分母；依限制解讀。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本例各項彙總在已展示的合成數值範圍內可重算且互相一致。這只是示例資料完整度判斷；由於沒有真實班級原件，本件不能作為本機構正式結案或績效結論。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10. 例外、缺證與更正軌跡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例外以班級識別與可核對欄位記錄，避免因個人資料暴露而在報告中寫入學員姓名。真實版須依機構個資規範保存具名原件，報告只呈現判斷所需的最少資料。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例外處置紀錄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900"/>
        <w:gridCol w:w="3400"/>
        <w:gridCol w:w="3500"/>
      </w:tblGrid>
      <w:tr>
        <w:trPr>
          <w:tblHeader/>
          <w:cantSplit/>
        </w:trPr>
        <w:tc>
          <w:tcPr>
            <w:tcW w:w="29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例外</w:t>
            </w:r>
          </w:p>
        </w:tc>
        <w:tc>
          <w:tcPr>
            <w:tcW w:w="34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判定與影響</w:t>
            </w:r>
          </w:p>
        </w:tc>
        <w:tc>
          <w:tcPr>
            <w:tcW w:w="35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示例處置與追蹤</w:t>
            </w:r>
          </w:p>
        </w:tc>
      </w:tr>
      <w:tr>
        <w:tc>
          <w:tcPr>
            <w:tcW w:w="2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1 名學員出席 5/12 小時，未達 10 小時示例門檻。</w:t>
            </w:r>
          </w:p>
        </w:tc>
        <w:tc>
          <w:tcPr>
            <w:tcW w:w="3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列為未完成；完成率仍以 12 名登錄者為分母。</w:t>
            </w:r>
          </w:p>
        </w:tc>
        <w:tc>
          <w:tcPr>
            <w:tcW w:w="3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承辦人A於示例期限 2026-09-25 前提供補訓選項，保留真實聯繫與回覆紀錄。</w:t>
            </w:r>
          </w:p>
        </w:tc>
      </w:tr>
      <w:tr>
        <w:tc>
          <w:tcPr>
            <w:tcW w:w="2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本報告無名冊、簽到、帳務憑證及原始量表。</w:t>
            </w:r>
          </w:p>
        </w:tc>
        <w:tc>
          <w:tcPr>
            <w:tcW w:w="34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所有班級日期、角色、數字與結論均為 SAMPLE/SYNTHETIC。</w:t>
            </w:r>
          </w:p>
        </w:tc>
        <w:tc>
          <w:tcPr>
            <w:tcW w:w="3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不標記 REAL，不引用為機構實績；以第 11 節原件清單替換後再覆核。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更正軌跡：本合成例沒有假設已發生更正。真實資料如需修正，應並列原值與修正值、引用原始依據、記錄修正日期與經手角色，並保留覆核結果及版本關聯；不得只覆寫舊值。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11. 真實原件替換區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本件沒有可驗證的本班 REAL 資料。要把完整結案報告改為真實紀錄，須逐項取得下表原件並重算所有相關數值；表內「未提供」是本示例的證據狀態，不是待填空表。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REAL 替換清單與升格核對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200"/>
        <w:gridCol w:w="4300"/>
        <w:gridCol w:w="3300"/>
      </w:tblGrid>
      <w:tr>
        <w:trPr>
          <w:tblHeader/>
          <w:cantSplit/>
        </w:trPr>
        <w:tc>
          <w:tcPr>
            <w:tcW w:w="22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替換項目</w:t>
            </w:r>
          </w:p>
        </w:tc>
        <w:tc>
          <w:tcPr>
            <w:tcW w:w="43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必須取得的真實資料或原件</w:t>
            </w:r>
          </w:p>
        </w:tc>
        <w:tc>
          <w:tcPr>
            <w:tcW w:w="33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本件狀態與核對方式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班期、課程與日期</w:t>
            </w:r>
          </w:p>
        </w:tc>
        <w:tc>
          <w:tcPr>
            <w:tcW w:w="4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正式課程及班期紀錄、實際開訓與結訓日期、課程時數。</w:t>
            </w:r>
          </w:p>
        </w:tc>
        <w:tc>
          <w:tcPr>
            <w:tcW w:w="3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未提供；與核定課程資料和實際執行紀錄逐項核對。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學員及完成判定</w:t>
            </w:r>
          </w:p>
        </w:tc>
        <w:tc>
          <w:tcPr>
            <w:tcW w:w="4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真實名冊、出席時數、退訓或未完成原因及一致的完成標準。</w:t>
            </w:r>
          </w:p>
        </w:tc>
        <w:tc>
          <w:tcPr>
            <w:tcW w:w="3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未提供；重算所有人數、分母、時數及完成率。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資源使用</w:t>
            </w:r>
          </w:p>
        </w:tc>
        <w:tc>
          <w:tcPr>
            <w:tcW w:w="4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場地、設備、教材領用與實際人力使用紀錄。</w:t>
            </w:r>
          </w:p>
        </w:tc>
        <w:tc>
          <w:tcPr>
            <w:tcW w:w="3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未提供；核對數量、期間及責任角色。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財務支配</w:t>
            </w:r>
          </w:p>
        </w:tc>
        <w:tc>
          <w:tcPr>
            <w:tcW w:w="4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真實預算、帳務明細、合法取得的原始憑證及核銷資料。</w:t>
            </w:r>
          </w:p>
        </w:tc>
        <w:tc>
          <w:tcPr>
            <w:tcW w:w="3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未提供；重算分類總額、差額、使用率與成本口徑。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訓練成果</w:t>
            </w:r>
          </w:p>
        </w:tc>
        <w:tc>
          <w:tcPr>
            <w:tcW w:w="4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真實前後測、評量規準、匿名化原始彙總及學員回饋。</w:t>
            </w:r>
          </w:p>
        </w:tc>
        <w:tc>
          <w:tcPr>
            <w:tcW w:w="3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未提供；確認量尺、配對數、缺漏及分子分母。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檢討與改進</w:t>
            </w:r>
          </w:p>
        </w:tc>
        <w:tc>
          <w:tcPr>
            <w:tcW w:w="4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真實檢討依據、決策、責任分派、期限、追蹤及結果紀錄。</w:t>
            </w:r>
          </w:p>
        </w:tc>
        <w:tc>
          <w:tcPr>
            <w:tcW w:w="3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未提供；逐項確認行動已發生或明確標為追蹤中。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角色與覆核</w:t>
            </w:r>
          </w:p>
        </w:tc>
        <w:tc>
          <w:tcPr>
            <w:tcW w:w="4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真實職務分工、覆核紀錄及必要的核准或簽章原件。</w:t>
            </w:r>
          </w:p>
        </w:tc>
        <w:tc>
          <w:tcPr>
            <w:tcW w:w="3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未提供；以合法來源取得，絕不仿製真人簽名或核准。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第三方證據</w:t>
            </w:r>
          </w:p>
        </w:tc>
        <w:tc>
          <w:tcPr>
            <w:tcW w:w="4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如需機關、外部單位、銀行或第三方正式文件，取得可核對的合法原件。</w:t>
            </w:r>
          </w:p>
        </w:tc>
        <w:tc>
          <w:tcPr>
            <w:tcW w:w="33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未提供；本報告不製作或模仿第三方原件、收據、證書或簽章。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替換完成條件：真實日期、角色、班級、數字、比率、核准或簽章及附件位置都回到原件核對；所有公式可由原始數據重算；例外與更正軌跡可追溯；未能取得的資料明確標出，不以本例數據補空。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12. 覆核、保管與調閱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示例覆核順序：承辦人先核對欄位完整度、分母、加總和附件定位；覆核者再對照真實原件、重算結果及改善追蹤。此文件沒有實際簽核或真人簽章。轉為正式報告時，依機構現行核定權責取得覆核，並保留可驗證紀錄。</w:t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保管與調閱：正式報告應與所引用原件保持可追溯關聯，依機構現行保存及個資規範控管存取；本件不另創設保存年限或機構權限。更正後保留可辨識的版本關聯、修改日期、修改原因、經手角色及覆核結果。</w:t>
      </w:r>
    </w:p>
    <w:p>
      <w:pPr>
        <w:pStyle w:val="Normal"/>
        <w:spacing w:after="150" w:line="320" w:lineRule="auto"/>
      </w:pPr>
      <w:r>
        <w:rPr>
          <w:rFonts w:ascii="Aptos" w:hAnsi="Aptos" w:eastAsia="Microsoft JhengHei" w:cs="Aptos"/>
          <w:sz w:val="22"/>
          <w:szCs w:val="22"/>
          <w:color w:val="7A4B00"/>
          <w:b/>
          <w:bCs/>
          <w:lang w:val="zh-TW" w:eastAsia="zh-TW"/>
        </w:rPr>
        <w:t xml:space="preserve">本例的班級內容、計算與改善決策均為合成示例；不能用本件作為實際核准、報支、出席或成效證明。</w:t>
      </w:r>
    </w:p>
    <w:p>
      <w:pPr>
        <w:pStyle w:val="Heading1"/>
        <w:spacing w:after="200" w:line="320" w:lineRule="auto"/>
        <w:keepNext/>
      </w:pPr>
      <w:r>
        <w:rPr>
          <w:rFonts w:ascii="Aptos" w:hAnsi="Aptos" w:eastAsia="Microsoft JhengHei" w:cs="Aptos"/>
          <w:sz w:val="32"/>
          <w:szCs w:val="32"/>
          <w:color w:val="174A68"/>
          <w:b/>
          <w:bCs/>
          <w:lang w:val="zh-TW" w:eastAsia="zh-TW"/>
        </w:rPr>
        <w:t xml:space="preserve">13. 相關要求與附件索引</w:t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本件範圍與相鄰資料的界線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500"/>
        <w:gridCol w:w="4200"/>
        <w:gridCol w:w="4100"/>
      </w:tblGrid>
      <w:tr>
        <w:trPr>
          <w:tblHeader/>
          <w:cantSplit/>
        </w:trPr>
        <w:tc>
          <w:tcPr>
            <w:tcW w:w="15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索引</w:t>
            </w:r>
          </w:p>
        </w:tc>
        <w:tc>
          <w:tcPr>
            <w:tcW w:w="42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應保存的工作物</w:t>
            </w:r>
          </w:p>
        </w:tc>
        <w:tc>
          <w:tcPr>
            <w:tcW w:w="41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本件處理方式</w:t>
            </w:r>
          </w:p>
        </w:tc>
      </w:tr>
      <w:tr>
        <w:tc>
          <w:tcPr>
            <w:tcW w:w="1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I15-E02</w:t>
            </w:r>
          </w:p>
        </w:tc>
        <w:tc>
          <w:tcPr>
            <w:tcW w:w="4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訓練班級完整結案報告。</w:t>
            </w:r>
          </w:p>
        </w:tc>
        <w:tc>
          <w:tcPr>
            <w:tcW w:w="4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本件專屬班級結案紀錄：資源、財務、成果、檢討與改進。</w:t>
            </w:r>
          </w:p>
        </w:tc>
      </w:tr>
      <w:tr>
        <w:tc>
          <w:tcPr>
            <w:tcW w:w="1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I15-E01</w:t>
            </w:r>
          </w:p>
        </w:tc>
        <w:tc>
          <w:tcPr>
            <w:tcW w:w="4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訓後定期性綜合檢討或管理審查制度會議紀錄。</w:t>
            </w:r>
          </w:p>
        </w:tc>
        <w:tc>
          <w:tcPr>
            <w:tcW w:w="4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本件不代替會議原件，不合併其會議決議或其他班級事實。</w:t>
            </w:r>
          </w:p>
        </w:tc>
      </w:tr>
      <w:tr>
        <w:tc>
          <w:tcPr>
            <w:tcW w:w="15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I15-E03</w:t>
            </w:r>
          </w:p>
        </w:tc>
        <w:tc>
          <w:tcPr>
            <w:tcW w:w="42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訓練執行評估指標分析及相關統計分析。</w:t>
            </w:r>
          </w:p>
        </w:tc>
        <w:tc>
          <w:tcPr>
            <w:tcW w:w="41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本件只呈現單班成果摘要，不代替跨班指標或相關統計分析。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60" w:line="320" w:lineRule="auto"/>
        <w:keepNext/>
      </w:pPr>
      <w:r>
        <w:rPr>
          <w:rFonts w:ascii="Aptos" w:hAnsi="Aptos" w:eastAsia="Microsoft JhengHei" w:cs="Aptos"/>
          <w:sz w:val="22"/>
          <w:szCs w:val="22"/>
          <w:color w:val="174A68"/>
          <w:b/>
          <w:bCs/>
          <w:lang w:val="zh-TW" w:eastAsia="zh-TW"/>
        </w:rPr>
        <w:t xml:space="preserve">附件與證據索引</w:t>
      </w:r>
    </w:p>
    <w:tbl>
      <w:tblPr>
        <w:tblW w:w="9800" w:type="dxa"/>
        <w:tblLayout w:type="fixed"/>
        <w:tblBorders>
          <w:top w:val="single" w:sz="5" w:color="C7D2DA"/>
          <w:left w:val="single" w:sz="5" w:color="C7D2DA"/>
          <w:bottom w:val="single" w:sz="5" w:color="C7D2DA"/>
          <w:right w:val="single" w:sz="5" w:color="C7D2DA"/>
          <w:insideH w:val="single" w:sz="4" w:color="D5DEE5"/>
          <w:insideV w:val="single" w:sz="4" w:color="D5DEE5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000"/>
        <w:gridCol w:w="3900"/>
        <w:gridCol w:w="3900"/>
      </w:tblGrid>
      <w:tr>
        <w:trPr>
          <w:tblHeader/>
          <w:cantSplit/>
        </w:trPr>
        <w:tc>
          <w:tcPr>
            <w:tcW w:w="20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索引項目</w:t>
            </w:r>
          </w:p>
        </w:tc>
        <w:tc>
          <w:tcPr>
            <w:tcW w:w="39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定位與狀態</w:t>
            </w:r>
          </w:p>
        </w:tc>
        <w:tc>
          <w:tcPr>
            <w:tcW w:w="3900" w:type="dxa"/>
            <w:vAlign w:val="top"/>
            <w:shd w:val="clear" w:color="auto" w:fill="174A68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FFFFFF"/>
                <w:b/>
                <w:bCs/>
                <w:lang w:val="zh-TW" w:eastAsia="zh-TW"/>
              </w:rPr>
              <w:t xml:space="preserve">真實版補充方式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官方要求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官方查核佐證表第 5 頁；要求原文已列於首頁來源依據框。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以該官方頁次作為本報告要求定位。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資源、財務及成果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本報告第 5 至 7 節為完整合成彙總，非原始附件。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附上真實使用紀錄、帳務憑證及評量原件或合法彙總。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檢討、例外及行動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本報告第 8 至 10 節為合成決策與追蹤示例。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以真實檢討、聯繫、改善及更正紀錄替換。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第三方原件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本件未附第三方收據、簽章、證書或正式文件。</w:t>
            </w:r>
          </w:p>
        </w:tc>
        <w:tc>
          <w:tcPr>
            <w:tcW w:w="3900" w:type="dxa"/>
            <w:vAlign w:val="top"/>
          </w:tcPr>
          <w:p>
            <w:pPr>
              <w:spacing w:after="35" w:line="250" w:lineRule="auto"/>
            </w:pPr>
            <w:r>
              <w:rPr>
                <w:rFonts w:ascii="Aptos" w:hAnsi="Aptos" w:eastAsia="Microsoft JhengHei" w:cs="Aptos"/>
                <w:sz w:val="20"/>
                <w:szCs w:val="20"/>
                <w:color w:val="243447"/>
                <w:lang w:val="zh-TW" w:eastAsia="zh-TW"/>
              </w:rPr>
              <w:t xml:space="preserve">如正式結論需要，合法取得原件並核對來源；不可補造。</w:t>
            </w:r>
          </w:p>
        </w:tc>
      </w:tr>
    </w:tbl>
    <w:p>
      <w:pPr>
        <w:pStyle w:val="Normal"/>
        <w:spacing w:after="8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/>
      </w:r>
    </w:p>
    <w:p>
      <w:pPr>
        <w:pStyle w:val="Normal"/>
        <w:spacing w:after="120" w:line="320" w:lineRule="auto"/>
      </w:pPr>
      <w:r>
        <w:rPr>
          <w:rFonts w:ascii="Aptos" w:hAnsi="Aptos" w:eastAsia="Microsoft JhengHei" w:cs="Aptos"/>
          <w:sz w:val="22"/>
          <w:szCs w:val="22"/>
          <w:color w:val="243447"/>
          <w:lang w:val="zh-TW" w:eastAsia="zh-TW"/>
        </w:rPr>
        <w:t xml:space="preserve">真實原件位置由實際持有者填入正式報告或附件索引，並保持可調閱與可重算。本示例不虛構外部檔名、收據號、真人姓名或簽章。</w:t>
      </w:r>
    </w:p>
    <w:sectPr>
      <w:footerReference w:type="default" r:id="rId2"/>
      <w:pgSz w:w="11906" w:h="16838"/>
      <w:pgMar w:top="936" w:right="1008" w:bottom="936" w:left="1008" w:header="432" w:footer="432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jc w:val="right"/>
      <w:spacing w:before="80" w:after="0"/>
    </w:pPr>
    <w:r>
      <w:rPr>
        <w:rFonts w:ascii="Aptos" w:hAnsi="Aptos" w:eastAsia="Microsoft JhengHei"/>
        <w:sz w:val="20"/>
        <w:szCs w:val="20"/>
        <w:color w:val="65727E"/>
      </w:rPr>
      <w:t>訓練班級完整結案報告｜SAMPLE/SYNTHETIC　</w:t>
    </w:r>
    <w:r>
      <w:rPr>
        <w:rFonts w:ascii="Aptos" w:hAnsi="Aptos" w:eastAsia="Microsoft JhengHei"/>
        <w:sz w:val="20"/>
        <w:szCs w:val="20"/>
        <w:color w:val="65727E"/>
      </w:rPr>
      <w:fldChar w:fldCharType="begin"/>
    </w:r>
    <w:r>
      <w:rPr>
        <w:rFonts w:ascii="Aptos" w:hAnsi="Aptos" w:eastAsia="Microsoft JhengHei"/>
        <w:sz w:val="20"/>
        <w:szCs w:val="20"/>
      </w:rP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doNotTrackMoves/>
  <w:doNotTrackFormatting/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 w:cs="Aptos"/>
        <w:sz w:val="22"/>
        <w:szCs w:val="22"/>
        <w:lang w:val="zh-TW" w:eastAsia="zh-TW"/>
      </w:rPr>
    </w:rPrDefault>
    <w:pPrDefault>
      <w:pPr>
        <w:spacing w:after="120" w:line="320" w:lineRule="auto"/>
      </w:pPr>
    </w:pPrDefault>
  </w:docDefaults>
  <w:style w:type="paragraph" w:default="1" w:styleId="Normal">
    <w:name w:val="Normal"/>
    <w:qFormat/>
    <w:rPr>
      <w:rFonts w:ascii="Aptos" w:hAnsi="Aptos" w:eastAsia="Microsoft JhengHei" w:cs="Aptos"/>
      <w:sz w:val="22"/>
      <w:szCs w:val="22"/>
    </w:rPr>
  </w:style>
  <w:style w:type="paragraph" w:styleId="Title">
    <w:name w:val="Title"/>
    <w:basedOn w:val="Normal"/>
    <w:qFormat/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spacing w:before="200" w:after="200"/>
    </w:pPr>
    <w:rPr>
      <w:b/>
      <w:bCs/>
      <w:color w:val="174A6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160" w:after="120"/>
    </w:pPr>
    <w:rPr>
      <w:b/>
      <w:bCs/>
      <w:color w:val="22627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訓練班級完整結案報告</dc:title>
  <dc:subject>單一訓練班資源、財務、成果與改善彙整</dc:subject>
  <dc:creator/>
  <cp:lastModifiedBy/>
  <dcterms:created xsi:type="dcterms:W3CDTF">2026-10-02T12:14:31Z</dcterms:created>
  <dcterms:modified xsi:type="dcterms:W3CDTF">2026-10-02T21:49:03Z</dcterms:modified>
</cp:coreProperties>
</file>