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 w:cs="Microsoft JhengHei"/>
          <w:b/>
          <w:color w:val="234C6A"/>
          <w:sz w:val="44"/>
        </w:rPr>
        <w:t>異常通報暨CAPA矯正預防紀錄</w:t>
      </w:r>
    </w:p>
    <w:p>
      <w:pPr>
        <w:spacing w:after="140"/>
      </w:pPr>
      <w:r>
        <w:rPr>
          <w:rFonts w:ascii="Microsoft JhengHei" w:hAnsi="Microsoft JhengHei" w:eastAsia="Microsoft JhengHei" w:cs="Microsoft JhengHei"/>
          <w:color w:val="566671"/>
          <w:sz w:val="22"/>
        </w:rPr>
        <w:t>把訓練異常、原因、措施、驗收與效果覆驗連成可追溯的單件紀錄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FFF3D8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>資料狀態　以下完整案例為 SAMPLE/SYNTHETIC。日期、角色、數字、原因判斷、措施結果與結案決定均為示例，不代表任何機構實績；操作步驟、風險分級、措施驗收與升級規則及狀態轉換亦為 SAMPLE/SYNTHETIC 設計，機構採用前應依核定權責及適用規範調整；沒有製作或代替真人、學員或第三方原件。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首頁快速使用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0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讀者與時點</w:t>
            </w:r>
          </w:p>
        </w:tc>
        <w:tc>
          <w:tcPr>
            <w:tcW w:type="dxa" w:w="388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怎麼使用</w:t>
            </w:r>
          </w:p>
        </w:tc>
        <w:tc>
          <w:tcPr>
            <w:tcW w:type="dxa" w:w="316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交付結果</w:t>
            </w:r>
          </w:p>
        </w:tc>
      </w:tr>
      <w:tr>
        <w:trPr>
          <w:cantSplit/>
        </w:trPr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通報人、措施負責角色、覆核主管。訓練流程發生差異、紀錄缺漏、交接失敗或其他異常時啟用。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先保全原始資料並記錄事實，再分析可驗證原因、分級風險、指派有期限的措施；完成後依驗收標準及後續抽查決定結案、重開或升級。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一件有來源、有責任人、有期限、有完成證據、有有效性計算及結案決定的異常改善紀錄。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color w:val="23313B"/>
          <w:sz w:val="22"/>
        </w:rPr>
        <w:t>使用原則：</w:t>
      </w: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記錄已知事實、未知事項及依據；不得覆寫原始紀錄、補造簽名，或以合成示例替代真實事件。實案的責任人、核准權限、證據位置及日期須以可查原件替換。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官方要求來源基礎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09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來源定位</w:t>
            </w:r>
          </w:p>
        </w:tc>
        <w:tc>
          <w:tcPr>
            <w:tcW w:type="dxa" w:w="6983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精確官方文字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TTQS查核佐證文件資料表（訓練機構版），第5頁，指標16「管控及異常矯正處理」</w:t>
            </w:r>
          </w:p>
        </w:tc>
        <w:tc>
          <w:tcPr>
            <w:tcW w:type="dxa" w:w="698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官方查核佐證項目：</w:t>
              <w:br/>
              <w:t>「訓練異常處理方法、 紀錄與工具。」</w:t>
              <w:br/>
              <w:br/>
              <w:t>同頁內涵說明：</w:t>
              <w:br/>
              <w:t>「建立適當的程序辦法，訓練流程異常時，應有紀錄及因應措施，必要時採取適當矯正措施防止再發。」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本紀錄專責呈現單一異常的通報、原因分析、風險、矯正預防措施、驗收、效果覆驗及結案；以上來源原文與示例案例明確分開。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一、啟動、記錄與保全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發現人先開案並保留首次通報內容。記錄發現日期、位置或流程節點、受影響範圍、已知數據、資料來源及尚待查證處；以原始紀錄、系統記錄或可回查清單定位。若原始資料不足，標明「未能確認」，不要推測成已完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15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54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345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當步輸出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1 通報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說明何時、何處、何種訓練作業出現何種差異；保留原始訊息及來源定位。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案件識別、發現人、發現日、事實與來源。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2 暫時控制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先防止資料被覆寫、混放或繼續錯用；界定受影響範圍。涉及個資、法令或重大訓練中斷時，立即通知有權主管。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控制方式、執行角色、完成日、尚存風險。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3 查證與原因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對照原件、欄位或流程記錄；逐層追問原因，直到根因能由證據支持。把直接原因、促成條件及未知事項分開。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原因分類、查證依據、根因判斷及限制。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4 風險排序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依影響範圍、紀錄完整性、重複可能及可偵測性分為高、中、低；說明判級理由與升級條件。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風險等級、理由、優先次序。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5 措施及期限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每項措施指定一位負責角色、期限、必要資源、完成證據和可判定的驗收標準。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已排程的矯正／預防行動。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6 驗收及覆驗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依標準查閱完成證據；在代表性後續事件抽查是否不再發生。算出完成率與有效率。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逐項通過／未通過、抽查數據及計算。</w:t>
            </w:r>
          </w:p>
        </w:tc>
      </w:tr>
      <w:tr>
        <w:trPr>
          <w:cantSplit/>
        </w:trPr>
        <w:tc>
          <w:tcPr>
            <w:tcW w:type="dxa" w:w="11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7 決定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有權主管檢查未結風險、證據、期限及覆驗範圍，再記錄結案、重開或升級決定。</w:t>
            </w:r>
          </w:p>
        </w:tc>
        <w:tc>
          <w:tcPr>
            <w:tcW w:type="dxa" w:w="34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決定人角色、決定日期、理由、後續監測安排。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二、原因分析、風險與責任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原因分析方法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先固定問題陳述與證據，再用「為什麼會發生」逐層追問。每一層回答都要指出可核對依據；若只能提出推測，列為待查，不當作根因。分析應落到流程、工具、責任界面、能力、資源或控制設計等可改善條件，不以「人員疏忽」結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94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查問層</w:t>
            </w:r>
          </w:p>
        </w:tc>
        <w:tc>
          <w:tcPr>
            <w:tcW w:type="dxa" w:w="81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記錄要點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直接差異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比較應有狀態與實際狀態；寫出資料來源、日期、範圍及差額。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直接原因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哪一個操作、交接或控制點使差異發生？誰在何時可從何種記錄核對？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促成原因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表單、流程、訓練、系統或權責設計是否讓差異容易發生或不易被發現？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根因確認</w:t>
            </w:r>
          </w:p>
        </w:tc>
        <w:tc>
          <w:tcPr>
            <w:tcW w:type="dxa" w:w="81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移除或改變該條件後，預期哪個控制會防止再發？由什麼證據驗證？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風險分級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08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等級</w:t>
            </w:r>
          </w:p>
        </w:tc>
        <w:tc>
          <w:tcPr>
            <w:tcW w:type="dxa" w:w="460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判斷線索</w:t>
            </w:r>
          </w:p>
        </w:tc>
        <w:tc>
          <w:tcPr>
            <w:tcW w:type="dxa" w:w="439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處置與升級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高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可能造成訓練中斷、法令／個資風險、原始紀錄真偽不明、多人或多案受影響，或相同問題重複發生。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立即控制並通知有權主管；暫停受影響流程或結案；確認外部通報及保全要求。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中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影響範圍可界定，但追溯、完整性或交接控制不足，需完成矯正並驗證再發風險。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指定優先措施與覆驗樣本；覆驗失敗即重開並升級。</w:t>
            </w:r>
          </w:p>
        </w:tc>
      </w:tr>
      <w:tr>
        <w:trPr>
          <w:cantSplit/>
        </w:trPr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低</w:t>
            </w:r>
          </w:p>
        </w:tc>
        <w:tc>
          <w:tcPr>
            <w:tcW w:type="dxa" w:w="46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單一可定位差異已即時修正，原始資料完整且無顯著影響；仍能追蹤改善。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記錄修正依據並依風險安排抽查；不得因評為低而省略結案證據。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分級是本工具的作業參考，實際決策權限與外部通報義務應由機構依適用規範及授權核定。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三、措施、完成證據與驗收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矯正措施處理已發生的差異；預防措施移除根因或補強控制。每一項措施都要連回原因與風險，並寫明責任角色、期限、支援資源、證據位置、驗收標準及實際覆核結果。完成不等於有效，兩者分開判定。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措施類型</w:t>
            </w:r>
          </w:p>
        </w:tc>
        <w:tc>
          <w:tcPr>
            <w:tcW w:type="dxa" w:w="496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最低記錄內容</w:t>
            </w:r>
          </w:p>
        </w:tc>
        <w:tc>
          <w:tcPr>
            <w:tcW w:type="dxa" w:w="331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未達標處理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立即處置／矯正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控制範圍、原件保全、已修正差異、修正依據與驗收結果。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資料未能核實或來源不完整時，保留未結狀態並升級；不以補造紀錄取代。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根因改善／預防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針對根因修改流程或工具；指定負責角色、期限、資源與完成證據。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到期未完成標示逾期，主管確認風險與新期限；不可靜默延長或刪除原期限。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有效性覆驗</w:t>
            </w:r>
          </w:p>
        </w:tc>
        <w:tc>
          <w:tcPr>
            <w:tcW w:type="dxa" w:w="49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定義母體、抽查單位、期間、通過條件、通過件數與抽查件數。</w:t>
            </w:r>
          </w:p>
        </w:tc>
        <w:tc>
          <w:tcPr>
            <w:tcW w:type="dxa" w:w="331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任一代表性樣本重現差異或資料不可追溯，判無效、重開分析並增加控制。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完成證據的判讀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可接受的完成證據應能讓另一位覆核者重做判斷，例如原始記錄定位、系統操作軌跡、已核定流程／表單版本及抽查記錄。只寫「已完成」、只有口頭說明、沒有來源定位，或由措施負責人自我宣稱有效，均不足以結案。第三方或真人文件須由合法來源取得；本工具不代製附件、簽章、證書或外部證明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四、完整 SAMPLE/SYNTHETIC 閉環案例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E8F2EA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 xml:space="preserve">案例邊界　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  <w:t>以下為內部交接控制的合成示例。數據與決定只用來展示紀錄方法；沒有附件原件、真人簽署或外部事實，也不推論課程成效。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7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案件識別與通報</w:t>
            </w:r>
          </w:p>
        </w:tc>
        <w:tc>
          <w:tcPr>
            <w:tcW w:type="dxa" w:w="7703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案例填入內容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案件代碼／狀態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示例案件一／結案（資料狀態：SAMPLE/SYNTHETIC）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異常日期；發現及開案日期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2026-09-03；2026-09-04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通報與責任角色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通報：紀錄管理角色甲；預防改善：課務角色乙；獨立覆核及結案決定：主管角色丙。均為示例角色，不代表真人或簽章。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問題／範圍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某次訓練結束後，交接紀錄未留下應收件數、實收件數及覆核者，無法只依交接紀錄追溯完整性。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可核對的案例數據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案例清點摘要記載應收12件、歸檔12件、差異0件；此處僅為文件內合成摘要，不表示附有或重製任何學員原始資料。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原因分析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直接原因：交接清單沒有應收／實收／差異及覆核欄。促成原因：結案判斷只看資料夾存在，未指定交接覆核點。根因：交接控制設計沒有要求件數對帳及第二人確認。依據：本例的清單欄位摘要與12／12／0清點結果。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風險與優先順序</w:t>
            </w:r>
          </w:p>
        </w:tc>
        <w:tc>
          <w:tcPr>
            <w:tcW w:type="dxa" w:w="770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中。現有案例清點可對上，但原交接軌跡不足、後續追溯受限；本案例未記載訓練中斷或已證實外部損失。優先完成交接欄位改善與獨立覆驗。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措施及完成驗收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338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措施／責任／期限</w:t>
            </w:r>
          </w:p>
        </w:tc>
        <w:tc>
          <w:tcPr>
            <w:tcW w:type="dxa" w:w="367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完成證據與驗收標準</w:t>
            </w:r>
          </w:p>
        </w:tc>
        <w:tc>
          <w:tcPr>
            <w:tcW w:type="dxa" w:w="30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示例覆核結果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矯正：把本次應收、實收、差異及原件位置記入案件追蹤，保留原件不改寫。負責：紀錄管理角色甲。期限：2026-09-04。資源：既有紀錄管理作業。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標準：應收、實收及差異欄一致；來源可回查；不重製或補簽原件。證據定位：本節案例數據列。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2026-09-04記錄12／12／0，數量相符；未以新製表單替代原件。驗收：通過。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預防：在交接清單新增應收、實收、差異、交接角色、交接日期與覆核角色欄；未完成對帳不得標記結束。負責：課務角色乙。期限：2026-09-10。資源：既有表單管理權限與課務作業。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標準：六項控制欄位均存在；交接責任明確；未對帳時可保留未結狀態。證據定位：本項措施摘要。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2026-09-10完成欄位及結案控制調整；覆核角色丙按標準檢視。驗收：通過。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有效性覆驗：對後續兩個結訓交接批次逐件核對清單與歸檔；任一件數不符或無法追溯即判無效並重開。負責：主管角色丙。期限：2026-09-17。資源：主管抽查時間。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標準：兩個抽查批次均能核對應收與實收、差異為零、覆核記錄完整。證據定位：下表的兩筆抽查摘要。</w:t>
            </w:r>
          </w:p>
        </w:tc>
        <w:tc>
          <w:tcPr>
            <w:tcW w:type="dxa" w:w="30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2026-09-17彙整覆驗；兩筆均達標。驗收：通過，僅對本案例定義的抽查範圍有效。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有效性計算及結案決定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88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抽查單位／日期</w:t>
            </w:r>
          </w:p>
        </w:tc>
        <w:tc>
          <w:tcPr>
            <w:tcW w:type="dxa" w:w="54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核對摘要</w:t>
            </w:r>
          </w:p>
        </w:tc>
        <w:tc>
          <w:tcPr>
            <w:tcW w:type="dxa" w:w="172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後續交接批次甲／2026-09-11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清單與歸檔逐件相符；差異為零；覆核欄完整。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後續交接批次乙／2026-09-14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清單與歸檔逐件相符；差異為零；覆核欄完整。</w:t>
            </w:r>
          </w:p>
        </w:tc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655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6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逐步計算</w:t>
            </w:r>
          </w:p>
        </w:tc>
        <w:tc>
          <w:tcPr>
            <w:tcW w:type="dxa" w:w="482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示例結果與解讀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有效率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通過覆驗批次數 ÷ 抽查批次數 = 2 ÷ 2 × 100%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100%。分母為本案兩個後續交接批次；兩批均通過。僅能支持此抽查範圍。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改善完成率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已驗收完成措施數 ÷ 應完成措施數 = 3 ÷ 3 × 100%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100%。分母為本案排定的三項措施；三項均有示例驗收結果。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覆核決定</w:t>
            </w:r>
          </w:p>
        </w:tc>
        <w:tc>
          <w:tcPr>
            <w:tcW w:type="dxa" w:w="36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2026-09-17；主管角色丙記錄示例判斷。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在上述有限抽查範圍內判定措施有效並結案；維持日常交接監測。這不是機構實績或真人核准。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五、逾期、無效、重開與升級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088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情形</w:t>
            </w:r>
          </w:p>
        </w:tc>
        <w:tc>
          <w:tcPr>
            <w:tcW w:type="dxa" w:w="525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必做處理</w:t>
            </w:r>
          </w:p>
        </w:tc>
        <w:tc>
          <w:tcPr>
            <w:tcW w:type="dxa" w:w="27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結案限制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措施逾期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期限當日仍未達標即標示逾期；負責人說明原因、剩餘風險與可行的新期限；主管重新排序資源並記錄通知。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原期限保留；未更新風險、責任與期限不得結案。高風險逾期立即升級。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驗收未通過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記錄未達標欄位、證據及原因；保持案件開啟，另列修正措施並重新驗收。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不得把未完成標示成完成，也不得只改驗收敘述。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有效性無效／再發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判定無效，重開原案或建立可回連的新案；擴大原因分析及樣本，檢查根因與控制是否充分。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未完成重新措施及新一輪覆驗前不得結案。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資料真偽或範圍不明、可能重大影響</w:t>
            </w:r>
          </w:p>
        </w:tc>
        <w:tc>
          <w:tcPr>
            <w:tcW w:type="dxa" w:w="52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保全原始材料，停止以推測補值；通知具權責主管，依適用規範決定是否暫停流程或對外處理。</w:t>
            </w:r>
          </w:p>
        </w:tc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只有來源可驗證、風險受控且權責主管作成有據決定後才可結案。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color w:val="23313B"/>
          <w:sz w:val="22"/>
        </w:rPr>
        <w:t>重開時</w:t>
      </w: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保留原案的原始通報、既有決定和措施結果；以新增追蹤記錄承接，不刪改曾經失敗的證據。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六、狀態定義、結案權責與紀錄邊界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655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4031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進入條件</w:t>
            </w:r>
          </w:p>
        </w:tc>
        <w:tc>
          <w:tcPr>
            <w:tcW w:type="dxa" w:w="439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離開條件／權責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新通報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已登錄基本事實及來源，範圍或原因仍待查。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責任主管分派負責角色、風險等級與期限後進入處置中。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處置中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暫時控制、原因分析或措施尚未完成。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各項完成證據依標準驗收後轉待覆驗；逾期按前節處理。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待覆驗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措施通過完成驗收，尚未證明後續有效。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完成預定抽查並有可重算結果；無效即重開。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逾期／升級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任何措施逾期、重大風險或來源不明。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有權主管重新評估、記錄措施與期限；未解決不得結案。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重開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覆驗失敗、同類問題再發或原結案依據失效。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保留舊版決定，新增原因、措施與覆驗，重新走完閉環。</w:t>
            </w:r>
          </w:p>
        </w:tc>
      </w:tr>
      <w:tr>
        <w:trPr>
          <w:cantSplit/>
        </w:trPr>
        <w:tc>
          <w:tcPr>
            <w:tcW w:type="dxa" w:w="16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結案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措施全數驗收，覆驗達標，未結風險有處置，資料來源可查。</w:t>
            </w:r>
          </w:p>
        </w:tc>
        <w:tc>
          <w:tcPr>
            <w:tcW w:type="dxa" w:w="43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由具權責且非單獨措施執行者的主管作成有據決定；留存日期、角色、理由與後續監測安排。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本件與相鄰紀錄的功能界線</w:t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23313B"/>
          <w:sz w:val="22"/>
        </w:rPr>
        <w:t>本件只記單一異常的事實、原因、措施與成效。日常訓練流程的例行管控及紀錄應放在《訓練流程的管控方法及紀錄》；整體內外稽核的計畫與發現應放在《訓練的內外稽核流程與紀錄》；通用處理步驟與操作工具應放在《訓練異常處理程序與工具》。引用相關紀錄時只留可核對的結果與定位，不複製其他紀錄正文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34C6A"/>
          <w:sz w:val="28"/>
        </w:rPr>
        <w:t>七、REAL資料替換區與證據索引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80"/>
            <w:shd w:fill="FFF3D8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pPr>
              <w:spacing w:after="0" w:line="264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4C6A"/>
                <w:sz w:val="20"/>
              </w:rPr>
              <w:t xml:space="preserve">轉為實案前　</w:t>
            </w:r>
            <w:r>
              <w:rPr>
                <w:rFonts w:ascii="Microsoft JhengHei" w:hAnsi="Microsoft JhengHei" w:eastAsia="Microsoft JhengHei" w:cs="Microsoft JhengHei"/>
                <w:color w:val="23313B"/>
                <w:sz w:val="20"/>
              </w:rPr>
              <w:t>將本件合成案例整體替換為同一件真實事件的可核實記錄。取得不到的資料明確標示缺失及影響；不可沿用示例日期、數字、角色、根因、結果或決定。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72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需替換項目</w:t>
            </w:r>
          </w:p>
        </w:tc>
        <w:tc>
          <w:tcPr>
            <w:tcW w:type="dxa" w:w="410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REAL資料與原始依據</w:t>
            </w:r>
          </w:p>
        </w:tc>
        <w:tc>
          <w:tcPr>
            <w:tcW w:type="dxa" w:w="410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核對與留存方式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事件與通報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實際事件日期、流程節點、發現人／責任角色、範圍、通報原文。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記原始檔名或系統記錄識別、版本、取得位置及日期；保留原件。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問題與分析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逐項應有／實際數據、差異、原因分類及每層分析證據。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能回到原件、系統軌跡或可重做的清點；未知值保持未知。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風險與措施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實際等級、權責依據、措施負責人、期限、資源及驗收標準。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記核定角色及依據；逾期、變更和重開保留歷程。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完成與有效性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原始完成證據、覆驗母體、抽樣單位、期間、分子／分母、計算和限制。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由覆核者可重算；不得以合成樣本或本文件示例代替。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結案與核准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具權責決策者、真實決定日期、理由及必要核准／簽章原件。</w:t>
            </w:r>
          </w:p>
        </w:tc>
        <w:tc>
          <w:tcPr>
            <w:tcW w:type="dxa" w:w="41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只記錄合法取得的原件定位；本紀錄不代簽、不仿製、不補作外部文件。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 w:cs="Microsoft JhengHei"/>
          <w:b/>
          <w:color w:val="234C6A"/>
          <w:sz w:val="24"/>
        </w:rPr>
        <w:t>證據及版本索引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800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索引項目</w:t>
            </w:r>
          </w:p>
        </w:tc>
        <w:tc>
          <w:tcPr>
            <w:tcW w:type="dxa" w:w="4536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來源／位置</w:t>
            </w:r>
          </w:p>
        </w:tc>
        <w:tc>
          <w:tcPr>
            <w:tcW w:type="dxa" w:w="3744"/>
            <w:shd w:fill="234C6A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狀態與用途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官方要求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TTQS查核佐證文件資料表（訓練機構版），第5頁，指標16。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官方來源；核對異常處理方法、紀錄與工具的要求。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案例數據摘要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本件第四節「完整 SAMPLE/SYNTHETIC 閉環案例」之案件卡片與措施表。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合成示例；不是外部原件或機構實績。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完成／覆驗結果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本件第四節「有效性計算及結案決定」表。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合成示例；分子、分母與計算均在本件列明。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3313B"/>
                <w:sz w:val="20"/>
              </w:rPr>
              <w:t>本文件修訂</w:t>
            </w:r>
          </w:p>
        </w:tc>
        <w:tc>
          <w:tcPr>
            <w:tcW w:type="dxa" w:w="45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本次建立的單件紀錄工具；實際建立／修改時間存於文件核心屬性。</w:t>
            </w:r>
          </w:p>
        </w:tc>
        <w:tc>
          <w:tcPr>
            <w:tcW w:type="dxa" w:w="37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3313B"/>
                <w:sz w:val="20"/>
              </w:rPr>
              <w:t>實案使用時，依機構文件管制方式登記版次、核准者及生效日。</w:t>
            </w:r>
          </w:p>
        </w:tc>
      </w:tr>
    </w:tbl>
    <w:p>
      <w:pPr>
        <w:spacing w:after="20" w:before="0" w:line="240" w:lineRule="auto"/>
      </w:pPr>
      <w:r>
        <w:rPr>
          <w:rFonts w:ascii="Microsoft JhengHei" w:hAnsi="Microsoft JhengHei" w:eastAsia="Microsoft JhengHei" w:cs="Microsoft JhengHei"/>
          <w:color w:val="23313B"/>
          <w:sz w:val="22"/>
        </w:rPr>
      </w:r>
    </w:p>
    <w:p>
      <w:pPr>
        <w:widowControl/>
        <w:spacing w:after="100" w:before="0" w:line="269" w:lineRule="auto"/>
      </w:pPr>
      <w:r>
        <w:rPr>
          <w:rFonts w:ascii="Microsoft JhengHei" w:hAnsi="Microsoft JhengHei" w:eastAsia="Microsoft JhengHei" w:cs="Microsoft JhengHei"/>
          <w:i w:val="0"/>
          <w:color w:val="566671"/>
          <w:sz w:val="22"/>
        </w:rPr>
        <w:t>本案例的證據定位是本文件內的合成摘要，未宣稱存在外部附件或第三方原件。實案需另附可驗證來源並記錄實際位置。</w:t>
      </w:r>
    </w:p>
    <w:sectPr w:rsidR="00FC693F" w:rsidRPr="0006063C" w:rsidSect="00034616"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color w:val="23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34C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234C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異常通報暨CAPA矯正預防紀錄</dc:title>
  <dc:subject>訓練異常通報、矯正預防措施與有效性追蹤</dc:subject>
  <dc:creator/>
  <cp:keywords/>
  <dc:description/>
  <cp:lastModifiedBy/>
  <cp:revision>1</cp:revision>
  <dcterms:created xsi:type="dcterms:W3CDTF">2026-10-02T22:56:53Z</dcterms:created>
  <dcterms:modified xsi:type="dcterms:W3CDTF">2026-10-03T06:06:58Z</dcterms:modified>
  <cp:category/>
</cp:coreProperties>
</file>