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b/>
          <w:color w:val="16324F"/>
          <w:sz w:val="48"/>
        </w:rPr>
        <w:t>訓練評估與實施標準化作業程序SOP</w:t>
      </w:r>
    </w:p>
    <w:p>
      <w:pPr>
        <w:pStyle w:val="Subtitle"/>
      </w:pPr>
      <w:r>
        <w:rPr>
          <w:rFonts w:ascii="Microsoft JhengHei" w:hAnsi="Microsoft JhengHei" w:eastAsia="Microsoft JhengHei" w:cs="Microsoft JhengHei"/>
          <w:b w:val="0"/>
          <w:color w:val="526273"/>
          <w:sz w:val="26"/>
        </w:rPr>
        <w:t>依核准課程方案實施訓練，評估結果並留下可追溯的改善紀錄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250"/>
        <w:gridCol w:w="12942"/>
      </w:tblGrid>
      <w:tr>
        <w:trPr>
          <w:tblHeader w:val="true"/>
        </w:trPr>
        <w:tc>
          <w:tcPr>
            <w:tcW w:type="dxa" w:w="22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快速資訊</w:t>
            </w:r>
          </w:p>
        </w:tc>
        <w:tc>
          <w:tcPr>
            <w:tcW w:type="dxa" w:w="1294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執行說明</w:t>
            </w:r>
          </w:p>
        </w:tc>
      </w:tr>
      <w:tr>
        <w:trPr>
          <w:cantSplit/>
        </w:trPr>
        <w:tc>
          <w:tcPr>
            <w:tcW w:type="dxa" w:w="22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目的與輸出</w:t>
            </w:r>
          </w:p>
        </w:tc>
        <w:tc>
          <w:tcPr>
            <w:tcW w:type="dxa" w:w="129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依核准目標完成課程實施、評量、結果判讀、課後追蹤與改善結案；形成原始紀錄、計算依據及交接資料。</w:t>
            </w:r>
          </w:p>
        </w:tc>
      </w:tr>
      <w:tr>
        <w:trPr>
          <w:cantSplit/>
        </w:trPr>
        <w:tc>
          <w:tcPr>
            <w:tcW w:type="dxa" w:w="22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使用者</w:t>
            </w:r>
          </w:p>
        </w:tc>
        <w:tc>
          <w:tcPr>
            <w:tcW w:type="dxa" w:w="129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訓練承辦人、授課人員、獨立品質覆核人及正式授權主管。</w:t>
            </w:r>
          </w:p>
        </w:tc>
      </w:tr>
      <w:tr>
        <w:trPr>
          <w:cantSplit/>
        </w:trPr>
        <w:tc>
          <w:tcPr>
            <w:tcW w:type="dxa" w:w="22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使用時點</w:t>
            </w:r>
          </w:p>
        </w:tc>
        <w:tc>
          <w:tcPr>
            <w:tcW w:type="dxa" w:w="129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從開課前5個工作日核對計畫開始，到課後追蹤及結案彙整完成；本文期限均為示例參數。</w:t>
            </w:r>
          </w:p>
        </w:tc>
      </w:tr>
      <w:tr>
        <w:trPr>
          <w:cantSplit/>
        </w:trPr>
        <w:tc>
          <w:tcPr>
            <w:tcW w:type="dxa" w:w="22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操作</w:t>
            </w:r>
          </w:p>
        </w:tc>
        <w:tc>
          <w:tcPr>
            <w:tcW w:type="dxa" w:w="129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核對核准依據 → 確認評估工具 → 實施並記錄 → 分析及獨立覆核 → 追蹤、改善與結案。</w:t>
            </w:r>
          </w:p>
        </w:tc>
      </w:tr>
      <w:tr>
        <w:trPr>
          <w:cantSplit/>
        </w:trPr>
        <w:tc>
          <w:tcPr>
            <w:tcW w:type="dxa" w:w="22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文件狀態</w:t>
            </w:r>
          </w:p>
        </w:tc>
        <w:tc>
          <w:tcPr>
            <w:tcW w:type="dxa" w:w="129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全篇角色、期限、門檻及案例均為示範資料｜非本會實際紀錄；未核准、未生效，不代表機構現況或實際成果。</w:t>
            </w:r>
          </w:p>
        </w:tc>
      </w:tr>
    </w:tbl>
    <w:p/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250"/>
        <w:gridCol w:w="12942"/>
      </w:tblGrid>
      <w:tr>
        <w:trPr>
          <w:tblHeader w:val="true"/>
        </w:trPr>
        <w:tc>
          <w:tcPr>
            <w:tcW w:type="dxa" w:w="22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文件管制</w:t>
            </w:r>
          </w:p>
        </w:tc>
        <w:tc>
          <w:tcPr>
            <w:tcW w:type="dxa" w:w="1294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內容說明</w:t>
            </w:r>
          </w:p>
        </w:tc>
      </w:tr>
      <w:tr>
        <w:trPr>
          <w:cantSplit/>
        </w:trPr>
        <w:tc>
          <w:tcPr>
            <w:tcW w:type="dxa" w:w="22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文件編號</w:t>
            </w:r>
          </w:p>
        </w:tc>
        <w:tc>
          <w:tcPr>
            <w:tcW w:type="dxa" w:w="129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0025</w:t>
            </w:r>
          </w:p>
        </w:tc>
      </w:tr>
      <w:tr>
        <w:trPr>
          <w:cantSplit/>
        </w:trPr>
        <w:tc>
          <w:tcPr>
            <w:tcW w:type="dxa" w:w="22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版本</w:t>
            </w:r>
          </w:p>
        </w:tc>
        <w:tc>
          <w:tcPr>
            <w:tcW w:type="dxa" w:w="129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草案 v1.0</w:t>
            </w:r>
          </w:p>
        </w:tc>
      </w:tr>
      <w:tr>
        <w:trPr>
          <w:cantSplit/>
        </w:trPr>
        <w:tc>
          <w:tcPr>
            <w:tcW w:type="dxa" w:w="22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狀態</w:t>
            </w:r>
          </w:p>
        </w:tc>
        <w:tc>
          <w:tcPr>
            <w:tcW w:type="dxa" w:w="129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示範草案（示範資料｜非本會實際紀錄），未核准、未生效</w:t>
            </w:r>
          </w:p>
        </w:tc>
      </w:tr>
      <w:tr>
        <w:trPr>
          <w:cantSplit/>
        </w:trPr>
        <w:tc>
          <w:tcPr>
            <w:tcW w:type="dxa" w:w="22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修訂日期</w:t>
            </w:r>
          </w:p>
        </w:tc>
        <w:tc>
          <w:tcPr>
            <w:tcW w:type="dxa" w:w="129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2026-10-03</w:t>
            </w:r>
          </w:p>
        </w:tc>
      </w:tr>
      <w:tr>
        <w:trPr>
          <w:cantSplit/>
        </w:trPr>
        <w:tc>
          <w:tcPr>
            <w:tcW w:type="dxa" w:w="22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生效狀態／生效日期</w:t>
            </w:r>
          </w:p>
        </w:tc>
        <w:tc>
          <w:tcPr>
            <w:tcW w:type="dxa" w:w="129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尚未核准生效；無正式生效日期</w:t>
            </w:r>
          </w:p>
        </w:tc>
      </w:tr>
    </w:tbl>
    <w:p/>
    <w:p>
      <w:r>
        <w:rPr>
          <w:rFonts w:ascii="Microsoft JhengHei" w:hAnsi="Microsoft JhengHei" w:eastAsia="Microsoft JhengHei" w:cs="Microsoft JhengHei"/>
          <w:color w:val="233142"/>
          <w:sz w:val="22"/>
        </w:rPr>
        <w:t>怎麼用：①先讀首頁快速資訊掌握目的、使用者與時點；②依第1節確認適用範圍與名詞；③依第2節分清角色、覆核分離與代理；④用第3節啟動判斷樹決定能否開始並補齊輸入；⑤按第4節編號步驟執行、記錄；⑥用第5節判斷規則、計算口徑與例外升級處理；⑦對照第6節完整示範情境走讀；⑧依第7節保存、監測、交接與真實資料替換。全篇數據均為示範資料｜非本會實際紀錄，正式啟用前依第7.4節逐項替換並取得權責核准。</w:t>
      </w:r>
    </w:p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1.1　官方佐證依據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15192"/>
      </w:tblGrid>
      <w:tr>
        <w:trPr>
          <w:cantSplit/>
        </w:trPr>
        <w:tc>
          <w:tcPr>
            <w:tcW w:type="dxa" w:w="1519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top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官方勾選文字（原文）</w:t>
            </w:r>
          </w:p>
        </w:tc>
      </w:tr>
      <w:tr>
        <w:trPr>
          <w:cantSplit/>
        </w:trPr>
        <w:tc>
          <w:tcPr>
            <w:tcW w:type="dxa" w:w="15192"/>
            <w:tcMar>
              <w:top w:w="65" w:type="dxa"/>
              <w:start w:w="85" w:type="dxa"/>
              <w:bottom w:w="65" w:type="dxa"/>
              <w:end w:w="85" w:type="dxa"/>
            </w:tcMar>
            <w:shd w:fill="EAF4EE" w:val="clear"/>
            <w:vAlign w:val="top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16324F"/>
                <w:sz w:val="22"/>
              </w:rPr>
              <w:t>訓練結果的評估、訓練實施的依據及標準化作業流程（SOP）。</w:t>
            </w:r>
          </w:p>
        </w:tc>
      </w:tr>
      <w:tr>
        <w:trPr>
          <w:cantSplit/>
        </w:trPr>
        <w:tc>
          <w:tcPr>
            <w:tcW w:type="dxa" w:w="15192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來源：TTQS查核佐證文件資料表（訓練機構版），第2頁。本框呈現官方要求原文；後續完整案例另以「示範資料｜非本會實際紀錄」標示，不得混作機構實績。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6324F"/>
          <w:sz w:val="32"/>
        </w:rPr>
        <w:t>第1節　目的、範圍與用語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本程序控制單件課程從核准依據、課前準備、課程實施、結果評估，到應用追蹤與結案的操作及證據鏈。供承辦、授課、覆核及授權主管依分工執行。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課程提供方式的選擇，以及TTQS管理系統整體核准、公告、更新與保存，應由相應的獨立制度處理。本程序只查驗並引用該課程實際使用的核准計畫版本，不代替或複製相鄰制度正文。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「可查驗來源」指能回到真實原件或授權電子紀錄的證據；「有效分母」指依事前核准口徑確認的評估母體；沒有回覆或證據者列為未知，不推定成功或失敗。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首頁操作提示：先確認核准方案與目標；關鍵來源欠缺時先記錄限制，停止不受支持的判定。完整合成走讀見第6節。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6324F"/>
          <w:sz w:val="32"/>
        </w:rPr>
        <w:t>第2節　角色、權責與分離控制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角色名稱、職責配置與RACI均為示範資料｜非本會實際紀錄。正式使用時須對照真實職掌、授權及代理文件；本表不代表實際任職人員或核准。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2.1　角色定義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600"/>
        <w:gridCol w:w="6900"/>
        <w:gridCol w:w="5692"/>
      </w:tblGrid>
      <w:tr>
        <w:trPr>
          <w:tblHeader w:val="true"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示例角色</w:t>
            </w:r>
          </w:p>
        </w:tc>
        <w:tc>
          <w:tcPr>
            <w:tcW w:type="dxa" w:w="69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程序職責</w:t>
            </w:r>
          </w:p>
        </w:tc>
        <w:tc>
          <w:tcPr>
            <w:tcW w:type="dxa" w:w="569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REAL替換依據</w:t>
            </w:r>
          </w:p>
        </w:tc>
      </w:tr>
      <w:tr>
        <w:trPr>
          <w:cantSplit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角色甲｜訓練承辦人</w:t>
            </w:r>
          </w:p>
        </w:tc>
        <w:tc>
          <w:tcPr>
            <w:tcW w:type="dxa" w:w="69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核對計畫；安排課程與工具；整理出席、評估和追蹤資料；編製結果與改善紀錄。</w:t>
            </w:r>
          </w:p>
        </w:tc>
        <w:tc>
          <w:tcPr>
            <w:tcW w:type="dxa" w:w="56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以有效職掌及授權文件確認承辦職務和代理。</w:t>
            </w:r>
          </w:p>
        </w:tc>
      </w:tr>
      <w:tr>
        <w:trPr>
          <w:cantSplit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角色乙｜獨立品質覆核人</w:t>
            </w:r>
          </w:p>
        </w:tc>
        <w:tc>
          <w:tcPr>
            <w:tcW w:type="dxa" w:w="69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檢查來源、分母、公式、目標比較、缺值與例外；不得覆核自己編製的結果。</w:t>
            </w:r>
          </w:p>
        </w:tc>
        <w:tc>
          <w:tcPr>
            <w:tcW w:type="dxa" w:w="56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以正式分工或代理授權確認獨立覆核職務。</w:t>
            </w:r>
          </w:p>
        </w:tc>
      </w:tr>
      <w:tr>
        <w:trPr>
          <w:cantSplit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角色丙｜授課人員</w:t>
            </w:r>
          </w:p>
        </w:tc>
        <w:tc>
          <w:tcPr>
            <w:tcW w:type="dxa" w:w="69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依核准內容授課，記錄偏離；配合工具確認、評量與未達標改善。</w:t>
            </w:r>
          </w:p>
        </w:tc>
        <w:tc>
          <w:tcPr>
            <w:tcW w:type="dxa" w:w="56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以真實課程計畫及職掌文件確認授課權責。</w:t>
            </w:r>
          </w:p>
        </w:tc>
      </w:tr>
      <w:tr>
        <w:trPr>
          <w:cantSplit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角色丁｜授權主管</w:t>
            </w:r>
          </w:p>
        </w:tc>
        <w:tc>
          <w:tcPr>
            <w:tcW w:type="dxa" w:w="69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依真實授權核定目標、例外處置及結案；不得以本示例代替簽核。</w:t>
            </w:r>
          </w:p>
        </w:tc>
        <w:tc>
          <w:tcPr>
            <w:tcW w:type="dxa" w:w="56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以有效授權及代理文件確認決策範圍。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2.2　RACI分工示例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100"/>
        <w:gridCol w:w="2500"/>
        <w:gridCol w:w="3350"/>
        <w:gridCol w:w="2700"/>
        <w:gridCol w:w="4542"/>
      </w:tblGrid>
      <w:tr>
        <w:trPr>
          <w:tblHeader w:val="true"/>
        </w:trPr>
        <w:tc>
          <w:tcPr>
            <w:tcW w:type="dxa" w:w="21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作業</w:t>
            </w:r>
          </w:p>
        </w:tc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角色甲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承辦</w:t>
            </w:r>
          </w:p>
        </w:tc>
        <w:tc>
          <w:tcPr>
            <w:tcW w:type="dxa" w:w="33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角色乙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品質覆核</w:t>
            </w:r>
          </w:p>
        </w:tc>
        <w:tc>
          <w:tcPr>
            <w:tcW w:type="dxa" w:w="27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角色丙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授課</w:t>
            </w:r>
          </w:p>
        </w:tc>
        <w:tc>
          <w:tcPr>
            <w:tcW w:type="dxa" w:w="454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角色丁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主管</w:t>
            </w:r>
          </w:p>
        </w:tc>
      </w:tr>
      <w:tr>
        <w:trPr>
          <w:cantSplit/>
        </w:trPr>
        <w:tc>
          <w:tcPr>
            <w:tcW w:type="dxa" w:w="21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確認目標與評估工具</w:t>
            </w:r>
          </w:p>
        </w:tc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R</w:t>
            </w:r>
          </w:p>
        </w:tc>
        <w:tc>
          <w:tcPr>
            <w:tcW w:type="dxa" w:w="33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C</w:t>
            </w:r>
          </w:p>
        </w:tc>
        <w:tc>
          <w:tcPr>
            <w:tcW w:type="dxa" w:w="27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C</w:t>
            </w:r>
          </w:p>
        </w:tc>
        <w:tc>
          <w:tcPr>
            <w:tcW w:type="dxa" w:w="45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A</w:t>
            </w:r>
          </w:p>
        </w:tc>
      </w:tr>
      <w:tr>
        <w:trPr>
          <w:cantSplit/>
        </w:trPr>
        <w:tc>
          <w:tcPr>
            <w:tcW w:type="dxa" w:w="21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課程實施與出席記錄</w:t>
            </w:r>
          </w:p>
        </w:tc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R</w:t>
            </w:r>
          </w:p>
        </w:tc>
        <w:tc>
          <w:tcPr>
            <w:tcW w:type="dxa" w:w="33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I</w:t>
            </w:r>
          </w:p>
        </w:tc>
        <w:tc>
          <w:tcPr>
            <w:tcW w:type="dxa" w:w="27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R</w:t>
            </w:r>
          </w:p>
        </w:tc>
        <w:tc>
          <w:tcPr>
            <w:tcW w:type="dxa" w:w="45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A</w:t>
            </w:r>
          </w:p>
        </w:tc>
      </w:tr>
      <w:tr>
        <w:trPr>
          <w:cantSplit/>
        </w:trPr>
        <w:tc>
          <w:tcPr>
            <w:tcW w:type="dxa" w:w="21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課後資料分析與結果判定</w:t>
            </w:r>
          </w:p>
        </w:tc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R</w:t>
            </w:r>
          </w:p>
        </w:tc>
        <w:tc>
          <w:tcPr>
            <w:tcW w:type="dxa" w:w="33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A</w:t>
            </w:r>
          </w:p>
        </w:tc>
        <w:tc>
          <w:tcPr>
            <w:tcW w:type="dxa" w:w="27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C</w:t>
            </w:r>
          </w:p>
        </w:tc>
        <w:tc>
          <w:tcPr>
            <w:tcW w:type="dxa" w:w="45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I</w:t>
            </w:r>
          </w:p>
        </w:tc>
      </w:tr>
      <w:tr>
        <w:trPr>
          <w:cantSplit/>
        </w:trPr>
        <w:tc>
          <w:tcPr>
            <w:tcW w:type="dxa" w:w="21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例外改善與結案</w:t>
            </w:r>
          </w:p>
        </w:tc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R</w:t>
            </w:r>
          </w:p>
        </w:tc>
        <w:tc>
          <w:tcPr>
            <w:tcW w:type="dxa" w:w="33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C</w:t>
            </w:r>
          </w:p>
        </w:tc>
        <w:tc>
          <w:tcPr>
            <w:tcW w:type="dxa" w:w="27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C</w:t>
            </w:r>
          </w:p>
        </w:tc>
        <w:tc>
          <w:tcPr>
            <w:tcW w:type="dxa" w:w="45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A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R＝執行；A＝對結果負最終責任或核定；C＝提供會商；I＝知會。此表是分工示例，不代表機構真實權責。每件資料彙整都要辨識編製者及獨立覆核者。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2.3　分離控制與代理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資料彙整者不得覆核自己編製的結果。人力不足時，須由有正式授權的獨立代理覆核；在代理人及授權來源可查驗前，不得把結果標為已覆核。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真實核准、代理或簽章只能來自原始權責文件。示例角色與RACI不可冒充真人、正式職務、出席、核准或簽章。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6324F"/>
          <w:sz w:val="32"/>
        </w:rPr>
        <w:t>第3節　輸入、前置條件與啟動判斷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每班次先建立可查驗的輸入清單。以下是應取得或引用的紀錄類型，不表示機構現有檔案已被查驗。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800"/>
        <w:gridCol w:w="4400"/>
        <w:gridCol w:w="4400"/>
        <w:gridCol w:w="3592"/>
      </w:tblGrid>
      <w:tr>
        <w:trPr>
          <w:tblHeader w:val="true"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輸入或紀錄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須核對欄位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查驗方式</w:t>
            </w:r>
          </w:p>
        </w:tc>
        <w:tc>
          <w:tcPr>
            <w:tcW w:type="dxa" w:w="359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缺漏處置</w:t>
            </w:r>
          </w:p>
        </w:tc>
      </w:tr>
      <w:tr>
        <w:trPr>
          <w:cantSplit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核准訓練計畫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目的、目標、對象、日期、方式、目標值、核准及版本。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回到正式原件或授權電子紀錄，記錄真實索引。</w:t>
            </w:r>
          </w:p>
        </w:tc>
        <w:tc>
          <w:tcPr>
            <w:tcW w:type="dxa" w:w="35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無核准依據或目標時，不啟動課程；不得事後補訂目標。</w:t>
            </w:r>
          </w:p>
        </w:tc>
      </w:tr>
      <w:tr>
        <w:trPr>
          <w:cantSplit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評估工具與口徑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題目、量尺、有效條件、分子、分母、目標、N/A條件。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確認工具對應事前目標，保存實際版本。</w:t>
            </w:r>
          </w:p>
        </w:tc>
        <w:tc>
          <w:tcPr>
            <w:tcW w:type="dxa" w:w="35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缺量尺或分母時列明限制，不推估或補零。</w:t>
            </w:r>
          </w:p>
        </w:tc>
      </w:tr>
      <w:tr>
        <w:trPr>
          <w:cantSplit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實施與出席證據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班次、報名及實到母體、日期、偏離計畫事項。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核對原始簽到或合法授權的電子紀錄。</w:t>
            </w:r>
          </w:p>
        </w:tc>
        <w:tc>
          <w:tcPr>
            <w:tcW w:type="dxa" w:w="35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未核實欄位標示缺漏，不宣稱真實出席。</w:t>
            </w:r>
          </w:p>
        </w:tc>
      </w:tr>
      <w:tr>
        <w:trPr>
          <w:cantSplit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課後原始資料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測驗、回饋、追蹤回覆及可核實的應用證據。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保留原始來源與收件狀態，區分有效、缺值、未回覆。</w:t>
            </w:r>
          </w:p>
        </w:tc>
        <w:tc>
          <w:tcPr>
            <w:tcW w:type="dxa" w:w="35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彙總敘述不得取代可查驗原件。</w:t>
            </w:r>
          </w:p>
        </w:tc>
      </w:tr>
      <w:tr>
        <w:trPr>
          <w:cantSplit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覆核、例外與改善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計算底稿、獨立覆核、限制、責任、期限及結案狀態。</w:t>
            </w:r>
          </w:p>
        </w:tc>
        <w:tc>
          <w:tcPr>
            <w:tcW w:type="dxa" w:w="44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由非編製者覆核，逐項連回支持結論的來源。</w:t>
            </w:r>
          </w:p>
        </w:tc>
        <w:tc>
          <w:tcPr>
            <w:tcW w:type="dxa" w:w="35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未結事項列明責任與下一步，不以文字掩蓋。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3.1　啟動判斷樹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3200"/>
        <w:gridCol w:w="6000"/>
        <w:gridCol w:w="5992"/>
      </w:tblGrid>
      <w:tr>
        <w:trPr>
          <w:tblHeader w:val="true"/>
        </w:trPr>
        <w:tc>
          <w:tcPr>
            <w:tcW w:type="dxa" w:w="32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依序檢查</w:t>
            </w:r>
          </w:p>
        </w:tc>
        <w:tc>
          <w:tcPr>
            <w:tcW w:type="dxa" w:w="60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是</w:t>
            </w:r>
          </w:p>
        </w:tc>
        <w:tc>
          <w:tcPr>
            <w:tcW w:type="dxa" w:w="599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否或不適用</w:t>
            </w:r>
          </w:p>
        </w:tc>
      </w:tr>
      <w:tr>
        <w:trPr>
          <w:cantSplit/>
        </w:trPr>
        <w:tc>
          <w:tcPr>
            <w:tcW w:type="dxa" w:w="32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可查驗核准計畫與目標？</w:t>
            </w:r>
          </w:p>
        </w:tc>
        <w:tc>
          <w:tcPr>
            <w:tcW w:type="dxa" w:w="60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記下真實版本及核准來源，進入工具確認。</w:t>
            </w:r>
          </w:p>
        </w:tc>
        <w:tc>
          <w:tcPr>
            <w:tcW w:type="dxa" w:w="59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停止開課準備並升級角色丁；不得事後補訂目標。</w:t>
            </w:r>
          </w:p>
        </w:tc>
      </w:tr>
      <w:tr>
        <w:trPr>
          <w:cantSplit/>
        </w:trPr>
        <w:tc>
          <w:tcPr>
            <w:tcW w:type="dxa" w:w="32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工具、量尺、分子及分母已定義？</w:t>
            </w:r>
          </w:p>
        </w:tc>
        <w:tc>
          <w:tcPr>
            <w:tcW w:type="dxa" w:w="60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保存工具版本與口徑，依第4節執行。</w:t>
            </w:r>
          </w:p>
        </w:tc>
        <w:tc>
          <w:tcPr>
            <w:tcW w:type="dxa" w:w="59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標示缺值與限制，回到真實來源補證；不推估、不補零。</w:t>
            </w:r>
          </w:p>
        </w:tc>
      </w:tr>
      <w:tr>
        <w:trPr>
          <w:cantSplit/>
        </w:trPr>
        <w:tc>
          <w:tcPr>
            <w:tcW w:type="dxa" w:w="32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編製與覆核已分離？</w:t>
            </w:r>
          </w:p>
        </w:tc>
        <w:tc>
          <w:tcPr>
            <w:tcW w:type="dxa" w:w="60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確認兩方責任及資料交接。</w:t>
            </w:r>
          </w:p>
        </w:tc>
        <w:tc>
          <w:tcPr>
            <w:tcW w:type="dxa" w:w="59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指定正式授權的獨立代理；未分離前暫緩結果核定。</w:t>
            </w:r>
          </w:p>
        </w:tc>
      </w:tr>
      <w:tr>
        <w:trPr>
          <w:cantSplit/>
        </w:trPr>
        <w:tc>
          <w:tcPr>
            <w:tcW w:type="dxa" w:w="32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涉及重大隱私、個資或安全風險？</w:t>
            </w:r>
          </w:p>
        </w:tc>
        <w:tc>
          <w:tcPr>
            <w:tcW w:type="dxa" w:w="60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無重大風險時依授權範圍使用必要資料。</w:t>
            </w:r>
          </w:p>
        </w:tc>
        <w:tc>
          <w:tcPr>
            <w:tcW w:type="dxa" w:w="59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若有重大風險，立即停止擴散並通報權責人。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判斷依據須在看見結果前確定。分母為零時列N/A；追蹤未回覆列未知。例外與計算見第5節；完整合成走讀見第6節。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6324F"/>
          <w:sz w:val="32"/>
        </w:rPr>
        <w:t>第4節　逐步作業程序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表列期限、角色與控制點均為示例參數，尚未生效。正式使用前以真實核准制度、職掌及保存規則替換；每步都須留下可回到原件的紀錄。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4.1　開課前至課程當日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720"/>
        <w:gridCol w:w="2200"/>
        <w:gridCol w:w="1680"/>
        <w:gridCol w:w="2000"/>
        <w:gridCol w:w="2200"/>
        <w:gridCol w:w="1750"/>
        <w:gridCol w:w="4642"/>
      </w:tblGrid>
      <w:tr>
        <w:trPr>
          <w:tblHeader w:val="true"/>
        </w:trPr>
        <w:tc>
          <w:tcPr>
            <w:tcW w:type="dxa" w:w="72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輸入與時點</w:t>
            </w:r>
          </w:p>
        </w:tc>
        <w:tc>
          <w:tcPr>
            <w:tcW w:type="dxa" w:w="168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責任</w:t>
            </w:r>
          </w:p>
        </w:tc>
        <w:tc>
          <w:tcPr>
            <w:tcW w:type="dxa" w:w="20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判斷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控制點</w:t>
            </w:r>
          </w:p>
        </w:tc>
        <w:tc>
          <w:tcPr>
            <w:tcW w:type="dxa" w:w="17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輸出</w:t>
            </w:r>
          </w:p>
        </w:tc>
        <w:tc>
          <w:tcPr>
            <w:tcW w:type="dxa" w:w="464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紀錄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1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核對依據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核准計畫、目標、版本及授權來源；開課前5個工作日。</w:t>
            </w:r>
          </w:p>
        </w:tc>
        <w:tc>
          <w:tcPr>
            <w:tcW w:type="dxa" w:w="168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角色甲執行；角色丁依授權核定。</w:t>
            </w:r>
          </w:p>
        </w:tc>
        <w:tc>
          <w:tcPr>
            <w:tcW w:type="dxa" w:w="20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課程、對象、日期及目標均可回到核准原件。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無可核對核准依據或目標即停止，不得事後補訂。</w:t>
            </w:r>
          </w:p>
        </w:tc>
        <w:tc>
          <w:tcPr>
            <w:tcW w:type="dxa" w:w="17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可啟動或待補件決定。</w:t>
            </w:r>
          </w:p>
        </w:tc>
        <w:tc>
          <w:tcPr>
            <w:tcW w:type="dxa" w:w="46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計畫識別、版本、目標、核准來源索引與核對結果。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2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確認工具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測驗、回饋、量尺及指標口徑；開課前3個工作日。</w:t>
            </w:r>
          </w:p>
        </w:tc>
        <w:tc>
          <w:tcPr>
            <w:tcW w:type="dxa" w:w="168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角色甲執行；角色乙、丙會商；角色丁核定。</w:t>
            </w:r>
          </w:p>
        </w:tc>
        <w:tc>
          <w:tcPr>
            <w:tcW w:type="dxa" w:w="20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題目對應目標；有效資料、分子、分母及門檻事前明確。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看見結果後不得改目標；保存實際採用的工具版本。</w:t>
            </w:r>
          </w:p>
        </w:tc>
        <w:tc>
          <w:tcPr>
            <w:tcW w:type="dxa" w:w="17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工具及計算口徑確認紀錄。</w:t>
            </w:r>
          </w:p>
        </w:tc>
        <w:tc>
          <w:tcPr>
            <w:tcW w:type="dxa" w:w="46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題目、量尺、有效條件、分母、目標與工具版本。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3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準備檢查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教材、設備、場地、角色、工具及資料保護；開課前1個工作日。</w:t>
            </w:r>
          </w:p>
        </w:tc>
        <w:tc>
          <w:tcPr>
            <w:tcW w:type="dxa" w:w="168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角色甲檢查；角色乙覆核準備清單。</w:t>
            </w:r>
          </w:p>
        </w:tc>
        <w:tc>
          <w:tcPr>
            <w:tcW w:type="dxa" w:w="20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必需項目可用；重大風險已有處置。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未完成項目列責任與處置；重大風險依第5節升級。</w:t>
            </w:r>
          </w:p>
        </w:tc>
        <w:tc>
          <w:tcPr>
            <w:tcW w:type="dxa" w:w="17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準備完成或暫緩決定。</w:t>
            </w:r>
          </w:p>
        </w:tc>
        <w:tc>
          <w:tcPr>
            <w:tcW w:type="dxa" w:w="46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檢查結果、缺項、責任、補正來源與決定。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4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實施記錄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依核准計畫授課；課程當日。</w:t>
            </w:r>
          </w:p>
        </w:tc>
        <w:tc>
          <w:tcPr>
            <w:tcW w:type="dxa" w:w="168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角色丙授課；角色甲記錄；角色丁依授權處理重大變更。</w:t>
            </w:r>
          </w:p>
        </w:tc>
        <w:tc>
          <w:tcPr>
            <w:tcW w:type="dxa" w:w="20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記錄實際報名、出席、缺席、延誤及偏離計畫事項。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當日記錄事實，不以示例或事後推定補寫；必要時留原始證據。</w:t>
            </w:r>
          </w:p>
        </w:tc>
        <w:tc>
          <w:tcPr>
            <w:tcW w:type="dxa" w:w="17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實施與出席摘要。</w:t>
            </w:r>
          </w:p>
        </w:tc>
        <w:tc>
          <w:tcPr>
            <w:tcW w:type="dxa" w:w="46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實際日期、出席來源、異動、偏離事項及處置。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第1至4步的填入示例見第6.1及第6.2節；該案例是合成資料，不能當成實際辦訓紀錄。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4.2　課後評估、追蹤與結案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720"/>
        <w:gridCol w:w="2200"/>
        <w:gridCol w:w="1680"/>
        <w:gridCol w:w="2000"/>
        <w:gridCol w:w="2200"/>
        <w:gridCol w:w="1750"/>
        <w:gridCol w:w="4642"/>
      </w:tblGrid>
      <w:tr>
        <w:trPr>
          <w:tblHeader w:val="true"/>
        </w:trPr>
        <w:tc>
          <w:tcPr>
            <w:tcW w:type="dxa" w:w="72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輸入與時點</w:t>
            </w:r>
          </w:p>
        </w:tc>
        <w:tc>
          <w:tcPr>
            <w:tcW w:type="dxa" w:w="168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責任</w:t>
            </w:r>
          </w:p>
        </w:tc>
        <w:tc>
          <w:tcPr>
            <w:tcW w:type="dxa" w:w="20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判斷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控制點</w:t>
            </w:r>
          </w:p>
        </w:tc>
        <w:tc>
          <w:tcPr>
            <w:tcW w:type="dxa" w:w="17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輸出</w:t>
            </w:r>
          </w:p>
        </w:tc>
        <w:tc>
          <w:tcPr>
            <w:tcW w:type="dxa" w:w="464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紀錄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5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收取評量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測驗及課後回饋原始資料；課程結束當日。</w:t>
            </w:r>
          </w:p>
        </w:tc>
        <w:tc>
          <w:tcPr>
            <w:tcW w:type="dxa" w:w="168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角色甲收件；角色丙配合說明工具。</w:t>
            </w:r>
          </w:p>
        </w:tc>
        <w:tc>
          <w:tcPr>
            <w:tcW w:type="dxa" w:w="20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標示有效、缺漏及未答；量尺與事前工具一致。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不得以補零或未核實估算替代原始資料。</w:t>
            </w:r>
          </w:p>
        </w:tc>
        <w:tc>
          <w:tcPr>
            <w:tcW w:type="dxa" w:w="17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原始資料清冊及缺值標記。</w:t>
            </w:r>
          </w:p>
        </w:tc>
        <w:tc>
          <w:tcPr>
            <w:tcW w:type="dxa" w:w="46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收件日期、工具版本、有效份數、缺漏及來源索引。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6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分析覆核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出席、前後測、回饋原始資料；課後3個工作日內完成初步彙整與覆核。</w:t>
            </w:r>
          </w:p>
        </w:tc>
        <w:tc>
          <w:tcPr>
            <w:tcW w:type="dxa" w:w="168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角色甲編製；角色乙獨立覆核；角色丁知會或依授權核定。</w:t>
            </w:r>
          </w:p>
        </w:tc>
        <w:tc>
          <w:tcPr>
            <w:tcW w:type="dxa" w:w="20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重算分子、分母、公式、精度、目標及資料限制。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編製者不得自我覆核；差異退回修正並保留版本。</w:t>
            </w:r>
          </w:p>
        </w:tc>
        <w:tc>
          <w:tcPr>
            <w:tcW w:type="dxa" w:w="17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可追溯結果表與判斷。</w:t>
            </w:r>
          </w:p>
        </w:tc>
        <w:tc>
          <w:tcPr>
            <w:tcW w:type="dxa" w:w="46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計算底稿、覆核意見、修正紀錄與結果來源。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7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應用追蹤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課後第30個日曆日追蹤；未回覆者於5個工作日內再聯繫。</w:t>
            </w:r>
          </w:p>
        </w:tc>
        <w:tc>
          <w:tcPr>
            <w:tcW w:type="dxa" w:w="168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角色甲聯繫及彙整；角色丙提供證據口徑。</w:t>
            </w:r>
          </w:p>
        </w:tc>
        <w:tc>
          <w:tcPr>
            <w:tcW w:type="dxa" w:w="20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分開列回覆者、有應用證據、未顯示應用及未回覆者。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未回覆列未知；僅使用合法授權的聯繫方式及必要資料。</w:t>
            </w:r>
          </w:p>
        </w:tc>
        <w:tc>
          <w:tcPr>
            <w:tcW w:type="dxa" w:w="17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追蹤結果及未回覆狀態。</w:t>
            </w:r>
          </w:p>
        </w:tc>
        <w:tc>
          <w:tcPr>
            <w:tcW w:type="dxa" w:w="46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追蹤日期、合格母體、回覆數、證據與聯繫狀態。</w:t>
            </w:r>
          </w:p>
        </w:tc>
      </w:tr>
      <w:tr>
        <w:trPr>
          <w:cantSplit/>
        </w:trPr>
        <w:tc>
          <w:tcPr>
            <w:tcW w:type="dxa" w:w="72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8</w:t>
            </w:r>
            <w:r>
              <w:br/>
            </w:r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結案交接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最後追蹤、分析及未結改善項；最後追蹤後5個工作日內。</w:t>
            </w:r>
          </w:p>
        </w:tc>
        <w:tc>
          <w:tcPr>
            <w:tcW w:type="dxa" w:w="168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角色甲彙整；角色乙覆核；角色丁依授權決定。</w:t>
            </w:r>
          </w:p>
        </w:tc>
        <w:tc>
          <w:tcPr>
            <w:tcW w:type="dxa" w:w="20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目標達成、資料限制、未結事項及責任均已交代。</w:t>
            </w:r>
          </w:p>
        </w:tc>
        <w:tc>
          <w:tcPr>
            <w:tcW w:type="dxa" w:w="2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未結事項保留責任、下一步與期限，不改寫成已完成。</w:t>
            </w:r>
          </w:p>
        </w:tc>
        <w:tc>
          <w:tcPr>
            <w:tcW w:type="dxa" w:w="17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結案摘要、改善交接及保存索引。</w:t>
            </w:r>
          </w:p>
        </w:tc>
        <w:tc>
          <w:tcPr>
            <w:tcW w:type="dxa" w:w="46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結案日期、覆核、決定、未結項及真實保存位置。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第5至8步的填入示例見第6.2至第6.4節；計算、追蹤與改善均列分子、分母及限制。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6324F"/>
          <w:sz w:val="32"/>
        </w:rPr>
        <w:t>第5節　判斷規則、計算與例外處理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5.1　計算口徑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550"/>
        <w:gridCol w:w="4550"/>
        <w:gridCol w:w="4050"/>
        <w:gridCol w:w="4042"/>
      </w:tblGrid>
      <w:tr>
        <w:trPr>
          <w:tblHeader w:val="true"/>
        </w:trPr>
        <w:tc>
          <w:tcPr>
            <w:tcW w:type="dxa" w:w="25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45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計算方式</w:t>
            </w:r>
          </w:p>
        </w:tc>
        <w:tc>
          <w:tcPr>
            <w:tcW w:type="dxa" w:w="40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必留欄位</w:t>
            </w:r>
          </w:p>
        </w:tc>
        <w:tc>
          <w:tcPr>
            <w:tcW w:type="dxa" w:w="404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判讀規則</w:t>
            </w:r>
          </w:p>
        </w:tc>
      </w:tr>
      <w:tr>
        <w:trPr>
          <w:cantSplit/>
        </w:trPr>
        <w:tc>
          <w:tcPr>
            <w:tcW w:type="dxa" w:w="25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出席率</w:t>
            </w:r>
          </w:p>
        </w:tc>
        <w:tc>
          <w:tcPr>
            <w:tcW w:type="dxa" w:w="45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實到人數 ÷ 報名人數 × 100。</w:t>
            </w:r>
          </w:p>
        </w:tc>
        <w:tc>
          <w:tcPr>
            <w:tcW w:type="dxa" w:w="40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報名、實到原始母體、缺席及日期。</w:t>
            </w:r>
          </w:p>
        </w:tc>
        <w:tc>
          <w:tcPr>
            <w:tcW w:type="dxa" w:w="40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核實兩個人數來自同一班次；分母為零列N/A。</w:t>
            </w:r>
          </w:p>
        </w:tc>
      </w:tr>
      <w:tr>
        <w:trPr>
          <w:cantSplit/>
        </w:trPr>
        <w:tc>
          <w:tcPr>
            <w:tcW w:type="dxa" w:w="25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目標達成率</w:t>
            </w:r>
          </w:p>
        </w:tc>
        <w:tc>
          <w:tcPr>
            <w:tcW w:type="dxa" w:w="45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達成個人目標人數 ÷ 有效評量母體 × 100。</w:t>
            </w:r>
          </w:p>
        </w:tc>
        <w:tc>
          <w:tcPr>
            <w:tcW w:type="dxa" w:w="40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量尺、個人門檻、有效母體及達成數。</w:t>
            </w:r>
          </w:p>
        </w:tc>
        <w:tc>
          <w:tcPr>
            <w:tcW w:type="dxa" w:w="40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只與事前核准目標比較；保留分子、分母及原始值。</w:t>
            </w:r>
          </w:p>
        </w:tc>
      </w:tr>
      <w:tr>
        <w:trPr>
          <w:cantSplit/>
        </w:trPr>
        <w:tc>
          <w:tcPr>
            <w:tcW w:type="dxa" w:w="25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前後差異</w:t>
            </w:r>
          </w:p>
        </w:tc>
        <w:tc>
          <w:tcPr>
            <w:tcW w:type="dxa" w:w="45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後測達標率 − 前測達標率，以百分點表示。</w:t>
            </w:r>
          </w:p>
        </w:tc>
        <w:tc>
          <w:tcPr>
            <w:tcW w:type="dxa" w:w="40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可比母體、期間及有效人數。</w:t>
            </w:r>
          </w:p>
        </w:tc>
        <w:tc>
          <w:tcPr>
            <w:tcW w:type="dxa" w:w="40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不可把百分點寫成百分比；資料不可比時列限制。</w:t>
            </w:r>
          </w:p>
        </w:tc>
      </w:tr>
      <w:tr>
        <w:trPr>
          <w:cantSplit/>
        </w:trPr>
        <w:tc>
          <w:tcPr>
            <w:tcW w:type="dxa" w:w="25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平均量尺</w:t>
            </w:r>
          </w:p>
        </w:tc>
        <w:tc>
          <w:tcPr>
            <w:tcW w:type="dxa" w:w="45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有效量尺總分 ÷ 有效作答份數。</w:t>
            </w:r>
          </w:p>
        </w:tc>
        <w:tc>
          <w:tcPr>
            <w:tcW w:type="dxa" w:w="40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量尺、有效答卷條件、總分及份數。</w:t>
            </w:r>
          </w:p>
        </w:tc>
        <w:tc>
          <w:tcPr>
            <w:tcW w:type="dxa" w:w="40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示例報至小數第1位；無有效作答時列N/A。</w:t>
            </w:r>
          </w:p>
        </w:tc>
      </w:tr>
      <w:tr>
        <w:trPr>
          <w:cantSplit/>
        </w:trPr>
        <w:tc>
          <w:tcPr>
            <w:tcW w:type="dxa" w:w="25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追蹤回覆率</w:t>
            </w:r>
          </w:p>
        </w:tc>
        <w:tc>
          <w:tcPr>
            <w:tcW w:type="dxa" w:w="45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有效回覆人數 ÷ 合格追蹤對象 × 100。</w:t>
            </w:r>
          </w:p>
        </w:tc>
        <w:tc>
          <w:tcPr>
            <w:tcW w:type="dxa" w:w="40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合格母體、回覆、未回覆及追蹤日。</w:t>
            </w:r>
          </w:p>
        </w:tc>
        <w:tc>
          <w:tcPr>
            <w:tcW w:type="dxa" w:w="40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未回覆列未知，不算成功或失敗。</w:t>
            </w:r>
          </w:p>
        </w:tc>
      </w:tr>
      <w:tr>
        <w:trPr>
          <w:cantSplit/>
        </w:trPr>
        <w:tc>
          <w:tcPr>
            <w:tcW w:type="dxa" w:w="25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應用率雙分母</w:t>
            </w:r>
          </w:p>
        </w:tc>
        <w:tc>
          <w:tcPr>
            <w:tcW w:type="dxa" w:w="45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回覆者應用率＝有證據回覆者 ÷ 有效回覆者；全體確認應用率＝有證據者 ÷ 合格追蹤對象。</w:t>
            </w:r>
          </w:p>
        </w:tc>
        <w:tc>
          <w:tcPr>
            <w:tcW w:type="dxa" w:w="40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應用證據、回覆者母體及全體母體。</w:t>
            </w:r>
          </w:p>
        </w:tc>
        <w:tc>
          <w:tcPr>
            <w:tcW w:type="dxa" w:w="40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兩種比率並列；未回覆仍列未知，不從全體母體刪除。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通用百分比公式為有效分子 ÷ 明確分母 × 100；分母為0時列N/A，不以0%代替。逐項保留來源、單位、期間、精度及缺值原因。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5.2　例外、風險與升級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750"/>
        <w:gridCol w:w="4200"/>
        <w:gridCol w:w="4350"/>
        <w:gridCol w:w="3892"/>
      </w:tblGrid>
      <w:tr>
        <w:trPr>
          <w:tblHeader w:val="true"/>
        </w:trPr>
        <w:tc>
          <w:tcPr>
            <w:tcW w:type="dxa" w:w="27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情境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立即處置</w:t>
            </w:r>
          </w:p>
        </w:tc>
        <w:tc>
          <w:tcPr>
            <w:tcW w:type="dxa" w:w="43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責任與升級</w:t>
            </w:r>
          </w:p>
        </w:tc>
        <w:tc>
          <w:tcPr>
            <w:tcW w:type="dxa" w:w="389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時限及紀錄</w:t>
            </w:r>
          </w:p>
        </w:tc>
      </w:tr>
      <w:tr>
        <w:trPr>
          <w:cantSplit/>
        </w:trPr>
        <w:tc>
          <w:tcPr>
            <w:tcW w:type="dxa" w:w="27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核准依據或目標缺漏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停止啟動；不得事後補訂目標或把未核准版本當成依據。</w:t>
            </w:r>
          </w:p>
        </w:tc>
        <w:tc>
          <w:tcPr>
            <w:tcW w:type="dxa" w:w="43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角色甲通知角色丁，取得真實核准原件後重走啟動核對。</w:t>
            </w:r>
          </w:p>
        </w:tc>
        <w:tc>
          <w:tcPr>
            <w:tcW w:type="dxa" w:w="38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開課前處理；記錄缺項、通知、原件及決定。</w:t>
            </w:r>
          </w:p>
        </w:tc>
      </w:tr>
      <w:tr>
        <w:trPr>
          <w:cantSplit/>
        </w:trPr>
        <w:tc>
          <w:tcPr>
            <w:tcW w:type="dxa" w:w="27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重大隱私、個資或安全風險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立即停止擴散相關資料或作業，保全必要事實。</w:t>
            </w:r>
          </w:p>
        </w:tc>
        <w:tc>
          <w:tcPr>
            <w:tcW w:type="dxa" w:w="43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立即通報有權處理的主管，按正式事件程序辦理。</w:t>
            </w:r>
          </w:p>
        </w:tc>
        <w:tc>
          <w:tcPr>
            <w:tcW w:type="dxa" w:w="38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立即；留存通報時間、來源及處置紀錄。</w:t>
            </w:r>
          </w:p>
        </w:tc>
      </w:tr>
      <w:tr>
        <w:trPr>
          <w:cantSplit/>
        </w:trPr>
        <w:tc>
          <w:tcPr>
            <w:tcW w:type="dxa" w:w="27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來源或分母缺漏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標記缺值與限制；不推估、不補零。</w:t>
            </w:r>
          </w:p>
        </w:tc>
        <w:tc>
          <w:tcPr>
            <w:tcW w:type="dxa" w:w="43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角色甲回到原始來源；角色乙覆核能否判定。</w:t>
            </w:r>
          </w:p>
        </w:tc>
        <w:tc>
          <w:tcPr>
            <w:tcW w:type="dxa" w:w="38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計算前處理；分母為零列N/A。</w:t>
            </w:r>
          </w:p>
        </w:tc>
      </w:tr>
      <w:tr>
        <w:trPr>
          <w:cantSplit/>
        </w:trPr>
        <w:tc>
          <w:tcPr>
            <w:tcW w:type="dxa" w:w="27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追蹤未回覆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分類為未知，與未顯示應用分開列示。</w:t>
            </w:r>
          </w:p>
        </w:tc>
        <w:tc>
          <w:tcPr>
            <w:tcW w:type="dxa" w:w="43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角色甲依授權方式再聯繫；不推定結果。</w:t>
            </w:r>
          </w:p>
        </w:tc>
        <w:tc>
          <w:tcPr>
            <w:tcW w:type="dxa" w:w="38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首次追蹤後5個工作日內再聯繫，記錄日期及狀態。</w:t>
            </w:r>
          </w:p>
        </w:tc>
      </w:tr>
      <w:tr>
        <w:trPr>
          <w:cantSplit/>
        </w:trPr>
        <w:tc>
          <w:tcPr>
            <w:tcW w:type="dxa" w:w="27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未達事前目標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保留結果及限制，建立具責任、期限和檢查證據的改善項。</w:t>
            </w:r>
          </w:p>
        </w:tc>
        <w:tc>
          <w:tcPr>
            <w:tcW w:type="dxa" w:w="43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角色甲建檔；角色丙配合；角色乙覆核；角色丁依授權決定。</w:t>
            </w:r>
          </w:p>
        </w:tc>
        <w:tc>
          <w:tcPr>
            <w:tcW w:type="dxa" w:w="38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未達標後3個工作日內建立改善項目。</w:t>
            </w:r>
          </w:p>
        </w:tc>
      </w:tr>
      <w:tr>
        <w:trPr>
          <w:cantSplit/>
        </w:trPr>
        <w:tc>
          <w:tcPr>
            <w:tcW w:type="dxa" w:w="27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編製者與覆核者相同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暫緩結果覆核，不得自行標示已核實。</w:t>
            </w:r>
          </w:p>
        </w:tc>
        <w:tc>
          <w:tcPr>
            <w:tcW w:type="dxa" w:w="43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改由正式授權的獨立代理覆核。</w:t>
            </w:r>
          </w:p>
        </w:tc>
        <w:tc>
          <w:tcPr>
            <w:tcW w:type="dxa" w:w="38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核定前完成分離；記錄代理及授權依據。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所有時限均為示範示例參數，尚未生效。真實個資、簽章、核准或第三方結論只能由合法原件支持。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6324F"/>
          <w:sz w:val="32"/>
        </w:rPr>
        <w:t>第6節　完整示範情境走讀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以下從計畫核對走到結果交接。所有日期、課程、角色、數值、門檻、追蹤狀態及結論均為合成示例，不代表實際班次、真人、核准或成果。假設承辦人可查驗授權課程計畫原件；本文件不仿製或宣稱該原件。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6.1　課程方案與實施輸入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500"/>
        <w:gridCol w:w="6400"/>
        <w:gridCol w:w="6292"/>
      </w:tblGrid>
      <w:tr>
        <w:trPr>
          <w:tblHeader w:val="true"/>
        </w:trPr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64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示範示例值</w:t>
            </w:r>
          </w:p>
        </w:tc>
        <w:tc>
          <w:tcPr>
            <w:tcW w:type="dxa" w:w="629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來源狀態與核對口徑</w:t>
            </w:r>
          </w:p>
        </w:tc>
      </w:tr>
      <w:tr>
        <w:trPr>
          <w:cantSplit/>
        </w:trPr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課程及日期</w:t>
            </w:r>
          </w:p>
        </w:tc>
        <w:tc>
          <w:tcPr>
            <w:tcW w:type="dxa" w:w="64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服務紀錄品質檢核實作；2026-06-15，單日班次。</w:t>
            </w:r>
          </w:p>
        </w:tc>
        <w:tc>
          <w:tcPr>
            <w:tcW w:type="dxa" w:w="62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合成事件日；正式版本須以真實核准計畫及原始出席紀錄替換。</w:t>
            </w:r>
          </w:p>
        </w:tc>
      </w:tr>
      <w:tr>
        <w:trPr>
          <w:cantSplit/>
        </w:trPr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示例紀錄識別</w:t>
            </w:r>
          </w:p>
        </w:tc>
        <w:tc>
          <w:tcPr>
            <w:tcW w:type="dxa" w:w="64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示例彙整紀錄甲。</w:t>
            </w:r>
          </w:p>
        </w:tc>
        <w:tc>
          <w:tcPr>
            <w:tcW w:type="dxa" w:w="62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僅為示例識別，不是實際檔案編號或儲存位置。</w:t>
            </w:r>
          </w:p>
        </w:tc>
      </w:tr>
      <w:tr>
        <w:trPr>
          <w:cantSplit/>
        </w:trPr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能力目標</w:t>
            </w:r>
          </w:p>
        </w:tc>
        <w:tc>
          <w:tcPr>
            <w:tcW w:type="dxa" w:w="64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依情境完成一份服務紀錄；個人評量達80分（滿分100分）列為達成。</w:t>
            </w:r>
          </w:p>
        </w:tc>
        <w:tc>
          <w:tcPr>
            <w:tcW w:type="dxa" w:w="62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合成計畫目標；REAL目標須在課前來自核准原件。</w:t>
            </w:r>
          </w:p>
        </w:tc>
      </w:tr>
      <w:tr>
        <w:trPr>
          <w:cantSplit/>
        </w:trPr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報名及出席</w:t>
            </w:r>
          </w:p>
        </w:tc>
        <w:tc>
          <w:tcPr>
            <w:tcW w:type="dxa" w:w="64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4人報名；3人實到；1人缺席。</w:t>
            </w:r>
          </w:p>
        </w:tc>
        <w:tc>
          <w:tcPr>
            <w:tcW w:type="dxa" w:w="62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數量全為合成值；真實人數須回到原始名冊。</w:t>
            </w:r>
          </w:p>
        </w:tc>
      </w:tr>
      <w:tr>
        <w:trPr>
          <w:cantSplit/>
        </w:trPr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學習評量</w:t>
            </w:r>
          </w:p>
        </w:tc>
        <w:tc>
          <w:tcPr>
            <w:tcW w:type="dxa" w:w="64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個人量尺0至100分，80分以上列達標；前後測按有效實到者計。</w:t>
            </w:r>
          </w:p>
        </w:tc>
        <w:tc>
          <w:tcPr>
            <w:tcW w:type="dxa" w:w="62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量尺、門檻及分母皆為示例；不得看見結果後修改。</w:t>
            </w:r>
          </w:p>
        </w:tc>
      </w:tr>
      <w:tr>
        <w:trPr>
          <w:cantSplit/>
        </w:trPr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學習目標</w:t>
            </w:r>
          </w:p>
        </w:tc>
        <w:tc>
          <w:tcPr>
            <w:tcW w:type="dxa" w:w="64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至少80%的實到者於後測達80分。</w:t>
            </w:r>
          </w:p>
        </w:tc>
        <w:tc>
          <w:tcPr>
            <w:tcW w:type="dxa" w:w="62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示例目標，不是官方統一門檻或機構現行標準。</w:t>
            </w:r>
          </w:p>
        </w:tc>
      </w:tr>
      <w:tr>
        <w:trPr>
          <w:cantSplit/>
        </w:trPr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滿意度</w:t>
            </w:r>
          </w:p>
        </w:tc>
        <w:tc>
          <w:tcPr>
            <w:tcW w:type="dxa" w:w="64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量尺1至5分；目標平均至少4.0/5分。</w:t>
            </w:r>
          </w:p>
        </w:tc>
        <w:tc>
          <w:tcPr>
            <w:tcW w:type="dxa" w:w="62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示例工具及門檻；有效作答條件須由真實工具確認。</w:t>
            </w:r>
          </w:p>
        </w:tc>
      </w:tr>
      <w:tr>
        <w:trPr>
          <w:cantSplit/>
        </w:trPr>
        <w:tc>
          <w:tcPr>
            <w:tcW w:type="dxa" w:w="25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應用追蹤</w:t>
            </w:r>
          </w:p>
        </w:tc>
        <w:tc>
          <w:tcPr>
            <w:tcW w:type="dxa" w:w="64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課後第30個日曆日追蹤；回覆者至少70%有應用證據。</w:t>
            </w:r>
          </w:p>
        </w:tc>
        <w:tc>
          <w:tcPr>
            <w:tcW w:type="dxa" w:w="62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日期和門檻均為示例；使用合法授權的聯繫方式及真實證據。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6.2　課程實施及課後結果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400"/>
        <w:gridCol w:w="4900"/>
        <w:gridCol w:w="3100"/>
        <w:gridCol w:w="4792"/>
      </w:tblGrid>
      <w:tr>
        <w:trPr>
          <w:tblHeader w:val="true"/>
        </w:trPr>
        <w:tc>
          <w:tcPr>
            <w:tcW w:type="dxa" w:w="24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49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合成輸入及計算</w:t>
            </w:r>
          </w:p>
        </w:tc>
        <w:tc>
          <w:tcPr>
            <w:tcW w:type="dxa" w:w="31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示例目標</w:t>
            </w:r>
          </w:p>
        </w:tc>
        <w:tc>
          <w:tcPr>
            <w:tcW w:type="dxa" w:w="479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判定</w:t>
            </w:r>
          </w:p>
        </w:tc>
      </w:tr>
      <w:tr>
        <w:trPr>
          <w:cantSplit/>
        </w:trPr>
        <w:tc>
          <w:tcPr>
            <w:tcW w:type="dxa" w:w="24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出席率</w:t>
            </w:r>
          </w:p>
        </w:tc>
        <w:tc>
          <w:tcPr>
            <w:tcW w:type="dxa" w:w="49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3 ÷ 4 × 100 = 75.0%。</w:t>
            </w:r>
          </w:p>
        </w:tc>
        <w:tc>
          <w:tcPr>
            <w:tcW w:type="dxa" w:w="31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未設定示例出席門檻。</w:t>
            </w:r>
          </w:p>
        </w:tc>
        <w:tc>
          <w:tcPr>
            <w:tcW w:type="dxa" w:w="47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只報結果，不增設達標結論。</w:t>
            </w:r>
          </w:p>
        </w:tc>
      </w:tr>
      <w:tr>
        <w:trPr>
          <w:cantSplit/>
        </w:trPr>
        <w:tc>
          <w:tcPr>
            <w:tcW w:type="dxa" w:w="24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前測達標率</w:t>
            </w:r>
          </w:p>
        </w:tc>
        <w:tc>
          <w:tcPr>
            <w:tcW w:type="dxa" w:w="49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1 ÷ 3 × 100 = 33.3%。</w:t>
            </w:r>
          </w:p>
        </w:tc>
        <w:tc>
          <w:tcPr>
            <w:tcW w:type="dxa" w:w="31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作為課前基準。</w:t>
            </w:r>
          </w:p>
        </w:tc>
        <w:tc>
          <w:tcPr>
            <w:tcW w:type="dxa" w:w="47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保留分子1、分母3及量尺。</w:t>
            </w:r>
          </w:p>
        </w:tc>
      </w:tr>
      <w:tr>
        <w:trPr>
          <w:cantSplit/>
        </w:trPr>
        <w:tc>
          <w:tcPr>
            <w:tcW w:type="dxa" w:w="24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後測達標率</w:t>
            </w:r>
          </w:p>
        </w:tc>
        <w:tc>
          <w:tcPr>
            <w:tcW w:type="dxa" w:w="49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3 ÷ 3 × 100 = 100.0%。</w:t>
            </w:r>
          </w:p>
        </w:tc>
        <w:tc>
          <w:tcPr>
            <w:tcW w:type="dxa" w:w="31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至少80%。</w:t>
            </w:r>
          </w:p>
        </w:tc>
        <w:tc>
          <w:tcPr>
            <w:tcW w:type="dxa" w:w="47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達標；分母為3位實到者。</w:t>
            </w:r>
          </w:p>
        </w:tc>
      </w:tr>
      <w:tr>
        <w:trPr>
          <w:cantSplit/>
        </w:trPr>
        <w:tc>
          <w:tcPr>
            <w:tcW w:type="dxa" w:w="24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前後測變化</w:t>
            </w:r>
          </w:p>
        </w:tc>
        <w:tc>
          <w:tcPr>
            <w:tcW w:type="dxa" w:w="49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100.0% − 33.3% = +66.7個百分點。</w:t>
            </w:r>
          </w:p>
        </w:tc>
        <w:tc>
          <w:tcPr>
            <w:tcW w:type="dxa" w:w="31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比較可比的前後測達標率。</w:t>
            </w:r>
          </w:p>
        </w:tc>
        <w:tc>
          <w:tcPr>
            <w:tcW w:type="dxa" w:w="47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以百分點表示，不寫成相對百分比。</w:t>
            </w:r>
          </w:p>
        </w:tc>
      </w:tr>
      <w:tr>
        <w:trPr>
          <w:cantSplit/>
        </w:trPr>
        <w:tc>
          <w:tcPr>
            <w:tcW w:type="dxa" w:w="24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滿意度平均</w:t>
            </w:r>
          </w:p>
        </w:tc>
        <w:tc>
          <w:tcPr>
            <w:tcW w:type="dxa" w:w="49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13 ÷ 3 = 4.3/5分；3份有效作答、總分13分。</w:t>
            </w:r>
          </w:p>
        </w:tc>
        <w:tc>
          <w:tcPr>
            <w:tcW w:type="dxa" w:w="31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平均至少4.0/5分。</w:t>
            </w:r>
          </w:p>
        </w:tc>
        <w:tc>
          <w:tcPr>
            <w:tcW w:type="dxa" w:w="47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達標；只代表合成案例的有效作答。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案例判讀：學習及滿意度目標均達成。出席率只作結果描述；示例沒有出席門檻，因此不另作達標判定。以上結論只屬合成走讀。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6.3　課後應用追蹤及分母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合成追蹤日為2026-07-15，即課程結束後第30個日曆日。3位實到者中2位回覆、1位未回覆；兩位回覆者中1位有示例應用證據，1位未顯示應用。未回覆者維持未知。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3000"/>
        <w:gridCol w:w="4200"/>
        <w:gridCol w:w="3600"/>
        <w:gridCol w:w="4392"/>
      </w:tblGrid>
      <w:tr>
        <w:trPr>
          <w:tblHeader w:val="true"/>
        </w:trPr>
        <w:tc>
          <w:tcPr>
            <w:tcW w:type="dxa" w:w="30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追蹤結果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計算</w:t>
            </w:r>
          </w:p>
        </w:tc>
        <w:tc>
          <w:tcPr>
            <w:tcW w:type="dxa" w:w="36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示例門檻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判定與限制</w:t>
            </w:r>
          </w:p>
        </w:tc>
      </w:tr>
      <w:tr>
        <w:trPr>
          <w:cantSplit/>
        </w:trPr>
        <w:tc>
          <w:tcPr>
            <w:tcW w:type="dxa" w:w="30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回覆率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2 ÷ 3 × 100 = 66.7%。</w:t>
            </w:r>
          </w:p>
        </w:tc>
        <w:tc>
          <w:tcPr>
            <w:tcW w:type="dxa" w:w="36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追蹤完整度描述。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1位未回覆；不能推定其已應用或未應用。</w:t>
            </w:r>
          </w:p>
        </w:tc>
      </w:tr>
      <w:tr>
        <w:trPr>
          <w:cantSplit/>
        </w:trPr>
        <w:tc>
          <w:tcPr>
            <w:tcW w:type="dxa" w:w="30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回覆者應用率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1 ÷ 2 × 100 = 50.0%。</w:t>
            </w:r>
          </w:p>
        </w:tc>
        <w:tc>
          <w:tcPr>
            <w:tcW w:type="dxa" w:w="36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至少70%的回覆者有應用證據。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未達標；分母是2位有效回覆者。</w:t>
            </w:r>
          </w:p>
        </w:tc>
      </w:tr>
      <w:tr>
        <w:trPr>
          <w:cantSplit/>
        </w:trPr>
        <w:tc>
          <w:tcPr>
            <w:tcW w:type="dxa" w:w="30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全體已確認應用率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1 ÷ 3 × 100 = 33.3%。</w:t>
            </w:r>
          </w:p>
        </w:tc>
        <w:tc>
          <w:tcPr>
            <w:tcW w:type="dxa" w:w="36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同時列合格追蹤全體母體。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另1位未回覆屬未知；不得從全體母體刪除。</w:t>
            </w:r>
          </w:p>
        </w:tc>
      </w:tr>
      <w:tr>
        <w:trPr>
          <w:cantSplit/>
        </w:trPr>
        <w:tc>
          <w:tcPr>
            <w:tcW w:type="dxa" w:w="30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未顯示應用</w:t>
            </w:r>
          </w:p>
        </w:tc>
        <w:tc>
          <w:tcPr>
            <w:tcW w:type="dxa" w:w="42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1 ÷ 2位回覆者。</w:t>
            </w:r>
          </w:p>
        </w:tc>
        <w:tc>
          <w:tcPr>
            <w:tcW w:type="dxa" w:w="36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作為改善線索，不推定能力不足。</w:t>
            </w:r>
          </w:p>
        </w:tc>
        <w:tc>
          <w:tcPr>
            <w:tcW w:type="dxa" w:w="43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只表示示例沒有可核實的應用證據。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合成結論：回覆率66.7%；回覆者應用率50.0%，低於70%示例目標；全體已確認應用率33.3%，另1位未回覆屬未知。不得把未知改列成功或失敗。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6.4　改善、交接與結案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4850"/>
        <w:gridCol w:w="2800"/>
        <w:gridCol w:w="3300"/>
        <w:gridCol w:w="4242"/>
      </w:tblGrid>
      <w:tr>
        <w:trPr>
          <w:tblHeader w:val="true"/>
        </w:trPr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改善項目</w:t>
            </w:r>
          </w:p>
        </w:tc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示例責任</w:t>
            </w:r>
          </w:p>
        </w:tc>
        <w:tc>
          <w:tcPr>
            <w:tcW w:type="dxa" w:w="33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示例時限</w:t>
            </w:r>
          </w:p>
        </w:tc>
        <w:tc>
          <w:tcPr>
            <w:tcW w:type="dxa" w:w="424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結案證據</w:t>
            </w:r>
          </w:p>
        </w:tc>
      </w:tr>
      <w:tr>
        <w:trPr>
          <w:cantSplit/>
        </w:trPr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聯繫1位未回覆者並更新狀態；仍未回覆時保留未知。</w:t>
            </w:r>
          </w:p>
        </w:tc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角色甲依正式授權方式追蹤。</w:t>
            </w:r>
          </w:p>
        </w:tc>
        <w:tc>
          <w:tcPr>
            <w:tcW w:type="dxa" w:w="33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首次追蹤後5個工作日內再聯繫。</w:t>
            </w:r>
          </w:p>
        </w:tc>
        <w:tc>
          <w:tcPr>
            <w:tcW w:type="dxa" w:w="42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聯繫日期、狀態、未知限制及可查驗來源。</w:t>
            </w:r>
          </w:p>
        </w:tc>
      </w:tr>
      <w:tr>
        <w:trPr>
          <w:cantSplit/>
        </w:trPr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對1位未顯示應用者安排輔導並記錄證據。</w:t>
            </w:r>
          </w:p>
        </w:tc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角色丙配合角色甲；角色乙覆核證據。</w:t>
            </w:r>
          </w:p>
        </w:tc>
        <w:tc>
          <w:tcPr>
            <w:tcW w:type="dxa" w:w="33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未達標後3個工作日內建立改善項目。</w:t>
            </w:r>
          </w:p>
        </w:tc>
        <w:tc>
          <w:tcPr>
            <w:tcW w:type="dxa" w:w="42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責任、期限、支持證據及覆核結果。</w:t>
            </w:r>
          </w:p>
        </w:tc>
      </w:tr>
      <w:tr>
        <w:trPr>
          <w:cantSplit/>
        </w:trPr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彙整達標、未達標、未知資料及未完成事項。</w:t>
            </w:r>
          </w:p>
        </w:tc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角色甲編製；角色乙覆核；角色丁依授權決定。</w:t>
            </w:r>
          </w:p>
        </w:tc>
        <w:tc>
          <w:tcPr>
            <w:tcW w:type="dxa" w:w="33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最後追蹤後5個工作日內結案或列明未結事項。</w:t>
            </w:r>
          </w:p>
        </w:tc>
        <w:tc>
          <w:tcPr>
            <w:tcW w:type="dxa" w:w="42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示例彙整紀錄甲之結果、計算、限制、交接及未結清單。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完整示例結論：學習及滿意度目標達成；應用目標未達，1位未回覆、1位未顯示應用證據。保留改善項目，不將合成結果寫成實際成效。課程、日期、量尺、目標、數字、角色、計算與行動均列入建置收據。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6324F"/>
          <w:sz w:val="32"/>
        </w:rPr>
        <w:t>第7節　紀錄、保存、監測與REAL資料替換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7.1　紀錄欄位、輸出與交接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800"/>
        <w:gridCol w:w="6700"/>
        <w:gridCol w:w="5692"/>
      </w:tblGrid>
      <w:tr>
        <w:trPr>
          <w:tblHeader w:val="true"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紀錄類型</w:t>
            </w:r>
          </w:p>
        </w:tc>
        <w:tc>
          <w:tcPr>
            <w:tcW w:type="dxa" w:w="67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最低可追溯欄位</w:t>
            </w:r>
          </w:p>
        </w:tc>
        <w:tc>
          <w:tcPr>
            <w:tcW w:type="dxa" w:w="569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輸出及交接控制</w:t>
            </w:r>
          </w:p>
        </w:tc>
      </w:tr>
      <w:tr>
        <w:trPr>
          <w:cantSplit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課前計畫核對</w:t>
            </w:r>
          </w:p>
        </w:tc>
        <w:tc>
          <w:tcPr>
            <w:tcW w:type="dxa" w:w="67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真實課程識別、核准版本、原件索引、目標、對象、日期、核對人及決定。</w:t>
            </w:r>
          </w:p>
        </w:tc>
        <w:tc>
          <w:tcPr>
            <w:tcW w:type="dxa" w:w="56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角色甲交角色乙覆核；缺少核准依據時不得實施。</w:t>
            </w:r>
          </w:p>
        </w:tc>
      </w:tr>
      <w:tr>
        <w:trPr>
          <w:cantSplit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課程實施及出席</w:t>
            </w:r>
          </w:p>
        </w:tc>
        <w:tc>
          <w:tcPr>
            <w:tcW w:type="dxa" w:w="67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班次、實際日期、報名與實到母體、原始來源、缺席及偏離事項。</w:t>
            </w:r>
          </w:p>
        </w:tc>
        <w:tc>
          <w:tcPr>
            <w:tcW w:type="dxa" w:w="56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與核准計畫對照；差異連到例外處置及真實原件。</w:t>
            </w:r>
          </w:p>
        </w:tc>
      </w:tr>
      <w:tr>
        <w:trPr>
          <w:cantSplit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評估與結果底稿</w:t>
            </w:r>
          </w:p>
        </w:tc>
        <w:tc>
          <w:tcPr>
            <w:tcW w:type="dxa" w:w="67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工具版本、量尺、有效條件、分子、分母、缺值、公式、結果、目標、限制及覆核意見。</w:t>
            </w:r>
          </w:p>
        </w:tc>
        <w:tc>
          <w:tcPr>
            <w:tcW w:type="dxa" w:w="56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角色甲編製、角色乙獨立覆核；交角色丁依授權判斷。</w:t>
            </w:r>
          </w:p>
        </w:tc>
      </w:tr>
      <w:tr>
        <w:trPr>
          <w:cantSplit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應用追蹤與改善</w:t>
            </w:r>
          </w:p>
        </w:tc>
        <w:tc>
          <w:tcPr>
            <w:tcW w:type="dxa" w:w="67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追蹤母體、日期、回覆、應用證據索引、未知分類、責任、期限及進度。</w:t>
            </w:r>
          </w:p>
        </w:tc>
        <w:tc>
          <w:tcPr>
            <w:tcW w:type="dxa" w:w="56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未達標及未結事項列入交接，不用敘述取代證據。</w:t>
            </w:r>
          </w:p>
        </w:tc>
      </w:tr>
      <w:tr>
        <w:trPr>
          <w:cantSplit/>
        </w:trPr>
        <w:tc>
          <w:tcPr>
            <w:tcW w:type="dxa" w:w="28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結案及保存</w:t>
            </w:r>
          </w:p>
        </w:tc>
        <w:tc>
          <w:tcPr>
            <w:tcW w:type="dxa" w:w="67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結論、限制、決策、未結清單、真實檔案位置、權限、保存依據及處置核准。</w:t>
            </w:r>
          </w:p>
        </w:tc>
        <w:tc>
          <w:tcPr>
            <w:tcW w:type="dxa" w:w="56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授權人確認真實保存索引；保存規則未核定前不得套用示例期限。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7.2　輸出、保存與權限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交接包應包含核准計畫索引、實施及出席紀錄、評估工具與原始資料、可重算結果底稿、獨立覆核、追蹤與改善、未結事項及保存索引。承辦人只使用授權範圍內的必要資料；電子位置、存取者與移交紀錄須用真實系統資訊。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300"/>
        <w:gridCol w:w="5700"/>
        <w:gridCol w:w="7192"/>
      </w:tblGrid>
      <w:tr>
        <w:trPr>
          <w:tblHeader w:val="true"/>
        </w:trPr>
        <w:tc>
          <w:tcPr>
            <w:tcW w:type="dxa" w:w="23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57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示範示例</w:t>
            </w:r>
          </w:p>
        </w:tc>
        <w:tc>
          <w:tcPr>
            <w:tcW w:type="dxa" w:w="719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REAL替換方式</w:t>
            </w:r>
          </w:p>
        </w:tc>
      </w:tr>
      <w:tr>
        <w:trPr>
          <w:cantSplit/>
        </w:trPr>
        <w:tc>
          <w:tcPr>
            <w:tcW w:type="dxa" w:w="23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保存期限</w:t>
            </w:r>
          </w:p>
        </w:tc>
        <w:tc>
          <w:tcPr>
            <w:tcW w:type="dxa" w:w="57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結案後保存5年；僅為示例，不代表法定期限或機構現行規定。</w:t>
            </w:r>
          </w:p>
        </w:tc>
        <w:tc>
          <w:tcPr>
            <w:tcW w:type="dxa" w:w="71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核對適用要求及正式保存年限表，由權責主管核定後替換；記錄起算點、暫停銷毀情形及處置依據。</w:t>
            </w:r>
          </w:p>
        </w:tc>
      </w:tr>
      <w:tr>
        <w:trPr>
          <w:cantSplit/>
        </w:trPr>
        <w:tc>
          <w:tcPr>
            <w:tcW w:type="dxa" w:w="23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保存位置</w:t>
            </w:r>
          </w:p>
        </w:tc>
        <w:tc>
          <w:tcPr>
            <w:tcW w:type="dxa" w:w="57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案例未提供真實路徑、檔案編號或帳號。</w:t>
            </w:r>
          </w:p>
        </w:tc>
        <w:tc>
          <w:tcPr>
            <w:tcW w:type="dxa" w:w="719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記錄真實授權系統、檔案索引、資料管理者、權限及交接日期。</w:t>
            </w:r>
          </w:p>
        </w:tc>
      </w:tr>
      <w:tr>
        <w:trPr>
          <w:cantSplit/>
        </w:trPr>
        <w:tc>
          <w:tcPr>
            <w:tcW w:type="dxa" w:w="23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銷毀與封存</w:t>
            </w:r>
          </w:p>
        </w:tc>
        <w:tc>
          <w:tcPr>
            <w:tcW w:type="dxa" w:w="57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案例不宣稱發生實際封存或銷毀。</w:t>
            </w:r>
          </w:p>
        </w:tc>
        <w:tc>
          <w:tcPr>
            <w:tcW w:type="dxa" w:w="719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保存合法核准的處置紀錄；依真實來源及適用規則處理。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任何期限、存取權限、封存或銷毀結論，在取得正式依據前不得標為REAL。不得以示例5年推定法令或契約要求。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7.3　監測與定期檢討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至少每12個月檢討一次；課程、工具、適用要求或授權流程有重大變更時另行檢討。此週期為合成示例參數，未生效。檢討核准來源、計畫與實施一致性、評估口徑、覆核分離、缺值分類、改善結案及保存索引。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850"/>
        <w:gridCol w:w="6900"/>
        <w:gridCol w:w="5442"/>
      </w:tblGrid>
      <w:tr>
        <w:trPr>
          <w:tblHeader w:val="true"/>
        </w:trPr>
        <w:tc>
          <w:tcPr>
            <w:tcW w:type="dxa" w:w="28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監測面向</w:t>
            </w:r>
          </w:p>
        </w:tc>
        <w:tc>
          <w:tcPr>
            <w:tcW w:type="dxa" w:w="69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檢視口徑</w:t>
            </w:r>
          </w:p>
        </w:tc>
        <w:tc>
          <w:tcPr>
            <w:tcW w:type="dxa" w:w="544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紀錄方式</w:t>
            </w:r>
          </w:p>
        </w:tc>
      </w:tr>
      <w:tr>
        <w:trPr>
          <w:cantSplit/>
        </w:trPr>
        <w:tc>
          <w:tcPr>
            <w:tcW w:type="dxa" w:w="28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計畫及執行</w:t>
            </w:r>
          </w:p>
        </w:tc>
        <w:tc>
          <w:tcPr>
            <w:tcW w:type="dxa" w:w="69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可查驗核准依據、目標與實施紀錄是否對應。</w:t>
            </w:r>
          </w:p>
        </w:tc>
        <w:tc>
          <w:tcPr>
            <w:tcW w:type="dxa" w:w="54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記錄抽查母體、來源、差異及處置；無資料列N/A。</w:t>
            </w:r>
          </w:p>
        </w:tc>
      </w:tr>
      <w:tr>
        <w:trPr>
          <w:cantSplit/>
        </w:trPr>
        <w:tc>
          <w:tcPr>
            <w:tcW w:type="dxa" w:w="28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評估及覆核</w:t>
            </w:r>
          </w:p>
        </w:tc>
        <w:tc>
          <w:tcPr>
            <w:tcW w:type="dxa" w:w="69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工具、分母、公式、缺值及覆核責任是否完整。</w:t>
            </w:r>
          </w:p>
        </w:tc>
        <w:tc>
          <w:tcPr>
            <w:tcW w:type="dxa" w:w="54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保留重算、覆核意見、修正版本及未解限制。</w:t>
            </w:r>
          </w:p>
        </w:tc>
      </w:tr>
      <w:tr>
        <w:trPr>
          <w:cantSplit/>
        </w:trPr>
        <w:tc>
          <w:tcPr>
            <w:tcW w:type="dxa" w:w="28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追蹤及改善</w:t>
            </w:r>
          </w:p>
        </w:tc>
        <w:tc>
          <w:tcPr>
            <w:tcW w:type="dxa" w:w="69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未達標、未回覆及未結項是否依責任交接。</w:t>
            </w:r>
          </w:p>
        </w:tc>
        <w:tc>
          <w:tcPr>
            <w:tcW w:type="dxa" w:w="54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保留責任、期限、進度、結果和未結事項。</w:t>
            </w:r>
          </w:p>
        </w:tc>
      </w:tr>
      <w:tr>
        <w:trPr>
          <w:cantSplit/>
        </w:trPr>
        <w:tc>
          <w:tcPr>
            <w:tcW w:type="dxa" w:w="285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保存及授權</w:t>
            </w:r>
          </w:p>
        </w:tc>
        <w:tc>
          <w:tcPr>
            <w:tcW w:type="dxa" w:w="69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真實位置、存取權限、保存依據及處置紀錄是否可核實。</w:t>
            </w:r>
          </w:p>
        </w:tc>
        <w:tc>
          <w:tcPr>
            <w:tcW w:type="dxa" w:w="54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只以正式保存清單及授權紀錄確認，不採用示例年限。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7.4　REAL資料替換區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本文件只有程序示例及合成情境，沒有可宣稱的真實課程、真人、正式核准、成績、成果或保存位置。正式使用前逐項取得原件、核對並替換；不能取得的欄位標示缺漏與限制，不得補造。</w:t>
      </w:r>
    </w:p>
    <w:tbl>
      <w:tblPr>
        <w:tblW w:type="dxa" w:w="15192"/>
        <w:tblLayout w:type="fixed"/>
        <w:tblLook w:firstColumn="1" w:firstRow="1" w:lastColumn="0" w:lastRow="0" w:noHBand="0" w:noVBand="1" w:val="04A0"/>
        <w:jc w:val="center"/>
        <w:tblBorders>
          <w:top w:val="single" w:sz="5" w:color="C6D2DC"/>
          <w:left w:val="single" w:sz="5" w:color="C6D2DC"/>
          <w:bottom w:val="single" w:sz="5" w:color="C6D2DC"/>
          <w:right w:val="single" w:sz="5" w:color="C6D2DC"/>
          <w:insideH w:val="single" w:sz="5" w:color="C6D2DC"/>
          <w:insideV w:val="single" w:sz="5" w:color="C6D2DC"/>
        </w:tblBorders>
      </w:tblPr>
      <w:tblGrid>
        <w:gridCol w:w="2600"/>
        <w:gridCol w:w="4500"/>
        <w:gridCol w:w="4850"/>
        <w:gridCol w:w="3242"/>
      </w:tblGrid>
      <w:tr>
        <w:trPr>
          <w:tblHeader w:val="true"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替換項目</w:t>
            </w:r>
          </w:p>
        </w:tc>
        <w:tc>
          <w:tcPr>
            <w:tcW w:type="dxa" w:w="450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必須取得的REAL來源</w:t>
            </w:r>
          </w:p>
        </w:tc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替換及核對動作</w:t>
            </w:r>
          </w:p>
        </w:tc>
        <w:tc>
          <w:tcPr>
            <w:tcW w:type="dxa" w:w="3242"/>
            <w:tcMar>
              <w:top w:w="65" w:type="dxa"/>
              <w:start w:w="85" w:type="dxa"/>
              <w:bottom w:w="65" w:type="dxa"/>
              <w:end w:w="85" w:type="dxa"/>
            </w:tcMar>
            <w:shd w:fill="16324F" w:val="clear"/>
            <w:vAlign w:val="center"/>
          </w:tcPr>
          <w:p>
            <w:pPr>
              <w:spacing w:before="0" w:after="20" w:line="245" w:lineRule="auto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20"/>
              </w:rPr>
              <w:t>放行條件</w:t>
            </w:r>
          </w:p>
        </w:tc>
      </w:tr>
      <w:tr>
        <w:trPr>
          <w:cantSplit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正式程序及生效資訊</w:t>
            </w:r>
          </w:p>
        </w:tc>
        <w:tc>
          <w:tcPr>
            <w:tcW w:type="dxa" w:w="45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真實版號、權責核准、簽章或可查驗電子核准、生效日期與公告範圍。</w:t>
            </w:r>
          </w:p>
        </w:tc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核定程序、期限、角色、代理及保存規則；記錄變更。</w:t>
            </w:r>
          </w:p>
        </w:tc>
        <w:tc>
          <w:tcPr>
            <w:tcW w:type="dxa" w:w="32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核准與生效證據均可核對。</w:t>
            </w:r>
          </w:p>
        </w:tc>
      </w:tr>
      <w:tr>
        <w:trPr>
          <w:cantSplit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課程、日期與目標</w:t>
            </w:r>
          </w:p>
        </w:tc>
        <w:tc>
          <w:tcPr>
            <w:tcW w:type="dxa" w:w="45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實際核准課程計畫原件及授權版本。</w:t>
            </w:r>
          </w:p>
        </w:tc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替換示例課名、日期、對象、目標及目標值；逐項回連原件。</w:t>
            </w:r>
          </w:p>
        </w:tc>
        <w:tc>
          <w:tcPr>
            <w:tcW w:type="dxa" w:w="32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目標在執行前核准，不事後補訂。</w:t>
            </w:r>
          </w:p>
        </w:tc>
      </w:tr>
      <w:tr>
        <w:trPr>
          <w:cantSplit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實施與出席</w:t>
            </w:r>
          </w:p>
        </w:tc>
        <w:tc>
          <w:tcPr>
            <w:tcW w:type="dxa" w:w="45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真實報名名冊、實際出席原件、授課及異動紀錄。</w:t>
            </w:r>
          </w:p>
        </w:tc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核對班次、日期、報名母體、實到、缺席及偏離事項。</w:t>
            </w:r>
          </w:p>
        </w:tc>
        <w:tc>
          <w:tcPr>
            <w:tcW w:type="dxa" w:w="32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數字可由原始紀錄重算並確認範圍。</w:t>
            </w:r>
          </w:p>
        </w:tc>
      </w:tr>
      <w:tr>
        <w:trPr>
          <w:cantSplit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評估工具及結果</w:t>
            </w:r>
          </w:p>
        </w:tc>
        <w:tc>
          <w:tcPr>
            <w:tcW w:type="dxa" w:w="45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實際工具版本、原始作答、量尺、有效條件及計算底稿。</w:t>
            </w:r>
          </w:p>
        </w:tc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以真實分子、分母及目標重算；保留缺值、限制及獨立覆核。</w:t>
            </w:r>
          </w:p>
        </w:tc>
        <w:tc>
          <w:tcPr>
            <w:tcW w:type="dxa" w:w="32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覆核者與編製者分離，來源與算法可重現。</w:t>
            </w:r>
          </w:p>
        </w:tc>
      </w:tr>
      <w:tr>
        <w:trPr>
          <w:cantSplit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角色、核准及改善</w:t>
            </w:r>
          </w:p>
        </w:tc>
        <w:tc>
          <w:tcPr>
            <w:tcW w:type="dxa" w:w="45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真實職掌、授權或代理、核准、追蹤及改善原件。</w:t>
            </w:r>
          </w:p>
        </w:tc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以真實職務替換角色甲至丁；不填造人名、簽名或決議。</w:t>
            </w:r>
          </w:p>
        </w:tc>
        <w:tc>
          <w:tcPr>
            <w:tcW w:type="dxa" w:w="32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每項權責及結論有原件支持。</w:t>
            </w:r>
          </w:p>
        </w:tc>
      </w:tr>
      <w:tr>
        <w:trPr>
          <w:cantSplit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外部或第三方證據</w:t>
            </w:r>
          </w:p>
        </w:tc>
        <w:tc>
          <w:tcPr>
            <w:tcW w:type="dxa" w:w="450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由實際第三方合法簽發、可驗證的原件或正式電子資料。</w:t>
            </w:r>
          </w:p>
        </w:tc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只建原件索引並查核簽發者、日期及參照資訊；不得代製、仿簽或補作。</w:t>
            </w:r>
          </w:p>
        </w:tc>
        <w:tc>
          <w:tcPr>
            <w:tcW w:type="dxa" w:w="3242"/>
            <w:tcMar>
              <w:top w:w="65" w:type="dxa"/>
              <w:start w:w="85" w:type="dxa"/>
              <w:bottom w:w="65" w:type="dxa"/>
              <w:end w:w="85" w:type="dxa"/>
            </w:tcMar>
            <w:shd w:fill="F8FAFC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無合法原件時只標示缺漏及限制，不主張第三方事實。</w:t>
            </w:r>
          </w:p>
        </w:tc>
      </w:tr>
      <w:tr>
        <w:trPr>
          <w:cantSplit/>
        </w:trPr>
        <w:tc>
          <w:tcPr>
            <w:tcW w:type="dxa" w:w="2600"/>
            <w:tcMar>
              <w:top w:w="65" w:type="dxa"/>
              <w:start w:w="85" w:type="dxa"/>
              <w:bottom w:w="65" w:type="dxa"/>
              <w:end w:w="85" w:type="dxa"/>
            </w:tcMar>
            <w:shd w:fill="E7F0F6" w:val="clear"/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233142"/>
                <w:sz w:val="20"/>
              </w:rPr>
              <w:t>檔案位置與保存</w:t>
            </w:r>
          </w:p>
        </w:tc>
        <w:tc>
          <w:tcPr>
            <w:tcW w:type="dxa" w:w="450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真實核准儲存位置、存取權限、正式保存年限表及處置核准。</w:t>
            </w:r>
          </w:p>
        </w:tc>
        <w:tc>
          <w:tcPr>
            <w:tcW w:type="dxa" w:w="4850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以正式規則替換示例5年；記錄起算、存取、移交及處置依據。</w:t>
            </w:r>
          </w:p>
        </w:tc>
        <w:tc>
          <w:tcPr>
            <w:tcW w:type="dxa" w:w="3242"/>
            <w:tcMar>
              <w:top w:w="65" w:type="dxa"/>
              <w:start w:w="85" w:type="dxa"/>
              <w:bottom w:w="65" w:type="dxa"/>
              <w:end w:w="85" w:type="dxa"/>
            </w:tcMar>
            <w:vAlign w:val="top"/>
          </w:tcPr>
          <w:p>
            <w:pPr>
              <w:spacing w:before="0" w:after="20" w:line="245" w:lineRule="auto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color w:val="233142"/>
                <w:sz w:val="20"/>
              </w:rPr>
              <w:t>權責核准後才使用期限、封存或銷毀規則。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D6F78"/>
          <w:sz w:val="25"/>
        </w:rPr>
        <w:t>7.5　相關文件與修訂紀錄</w:t>
      </w:r>
    </w:p>
    <w:p>
      <w:r>
        <w:rPr>
          <w:rFonts w:ascii="Microsoft JhengHei" w:hAnsi="Microsoft JhengHei" w:eastAsia="Microsoft JhengHei" w:cs="Microsoft JhengHei"/>
          <w:color w:val="233142"/>
          <w:sz w:val="22"/>
        </w:rPr>
        <w:t>執行時引用真實有效的核准訓練計畫、評估工具及量尺、原始出席與評量紀錄、課後追蹤證據、改善紀錄及正式保存年限規則。每次修訂須保留原因、內容、覆核、真實核准、生效日、公告範圍及被取代版本索引；本文件不呈現實際核准、簽章或生效事件。</w:t>
      </w:r>
    </w:p>
    <w:p>
      <w:r>
        <w:rPr>
          <w:rFonts w:ascii="Microsoft JhengHei" w:hAnsi="Microsoft JhengHei" w:eastAsia="Microsoft JhengHei" w:cs="Microsoft JhengHei"/>
          <w:b/>
          <w:color w:val="1D6F78"/>
          <w:sz w:val="22"/>
        </w:rPr>
        <w:t>文件結論</w:t>
      </w:r>
      <w:r>
        <w:rPr>
          <w:rFonts w:ascii="Microsoft JhengHei" w:hAnsi="Microsoft JhengHei" w:eastAsia="Microsoft JhengHei" w:cs="Microsoft JhengHei"/>
          <w:color w:val="233142"/>
          <w:sz w:val="22"/>
        </w:rPr>
        <w:t>：本SOP提供可走讀的標準流程與完整合成案例；正式啟用前須完成REAL資料替換並取得真實權責核准。</w:t>
      </w:r>
    </w:p>
    <w:sectPr w:rsidR="00FC693F" w:rsidRPr="0006063C" w:rsidSect="00034616">
      <w:pgSz w:w="16848" w:h="11952" w:orient="landscape"/>
      <w:pgMar w:top="792" w:right="828" w:bottom="792" w:left="82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Microsoft JhengHei" w:hAnsi="Microsoft JhengHei" w:eastAsia="Microsoft JhengHei" w:cs="Microsoft JhengHei"/>
      <w:b w:val="0"/>
      <w:color w:val="2331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D6F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D6F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40" w:after="8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 w:val="0"/>
      <w:i/>
      <w:iCs/>
      <w:color w:val="5262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Characters>0</ns0:Characters>
  <ns0:Application>Microsoft Macintosh Word</ns0:Application>
  <ns0:DocSecurity>0</ns0:DocSecurity>
  <ns0:Lines>0</ns0:Line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>14.0000</ns0:AppVersion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訓練評估與實施標準化作業程序SOP</dc:title>
  <dc:subject>訓練實施、評估、追蹤與紀錄控制</dc:subject>
  <dc:creator>訓練作業文件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