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 w:cs="Microsoft JhengHei"/>
          <w:b/>
          <w:color w:val="234C6A"/>
          <w:sz w:val="44"/>
        </w:rPr>
        <w:t>異常通報暨CAPA矯正預防紀錄</w:t>
      </w:r>
    </w:p>
    <w:p>
      <w:pPr>
        <w:spacing w:after="140"/>
      </w:pPr>
      <w:r>
        <w:rPr>
          <w:rFonts w:ascii="Microsoft JhengHei" w:hAnsi="Microsoft JhengHei" w:eastAsia="Microsoft JhengHei" w:cs="Microsoft JhengHei"/>
          <w:color w:val="566671"/>
          <w:sz w:val="22"/>
        </w:rPr>
        <w:t>把訓練異常、原因、措施、驗收與效果覆驗連成可追溯的單件紀錄</w:t>
      </w:r>
    </w:p>
    <w:p>
      <w:pPr/>
      <w:r>
        <w:rPr>
          <w:sz w:val="21"/>
        </w:rPr>
        <w:t>文件編號：0071　版本：1.0　狀態：示範文件／未生效　修訂日期：2026-10-03　生效日期：未生效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80"/>
            <w:shd w:fill="FFF3D8"/>
            <w:tcMar>
              <w:top w:w="120" w:type="dxa"/>
              <w:start w:w="145" w:type="dxa"/>
              <w:bottom w:w="120" w:type="dxa"/>
              <w:end w:w="145" w:type="dxa"/>
            </w:tcMar>
          </w:tcPr>
          <w:p>
            <w:pPr>
              <w:spacing w:after="0" w:line="264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4C6A"/>
                <w:sz w:val="20"/>
              </w:rPr>
              <w:t>示範資料｜非本會實際紀錄。案例日期、角色、數據及結果均為示例；不代表本會執行成果，也不替代真人或第三方原件。</w:t>
            </w:r>
            <w:r>
              <w:rPr>
                <w:rFonts w:ascii="Microsoft JhengHei" w:hAnsi="Microsoft JhengHei" w:eastAsia="Microsoft JhengHei" w:cs="Microsoft JhengHei"/>
                <w:color w:val="23313B"/>
                <w:sz w:val="20"/>
              </w:rPr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 w:cs="Microsoft JhengHei"/>
          <w:b/>
          <w:color w:val="234C6A"/>
          <w:sz w:val="28"/>
        </w:rPr>
        <w:t>首頁快速使用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  <w:cantSplit/>
        </w:trPr>
        <w:tc>
          <w:tcPr>
            <w:tcW w:type="dxa" w:w="3024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讀者與時點</w:t>
            </w:r>
          </w:p>
        </w:tc>
        <w:tc>
          <w:tcPr>
            <w:tcW w:type="dxa" w:w="3888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怎麼使用</w:t>
            </w:r>
          </w:p>
        </w:tc>
        <w:tc>
          <w:tcPr>
            <w:tcW w:type="dxa" w:w="3168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交付結果</w:t>
            </w:r>
          </w:p>
        </w:tc>
      </w:tr>
      <w:tr>
        <w:trPr>
          <w:cantSplit/>
        </w:trPr>
        <w:tc>
          <w:tcPr>
            <w:tcW w:type="dxa" w:w="302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使用人：通報人、措施負責角色、覆核主管。使用時機：發現訓練作業差異、紀錄缺漏或交接失敗時立即開案；措施完成後依計畫覆驗。</w:t>
            </w:r>
          </w:p>
        </w:tc>
        <w:tc>
          <w:tcPr>
            <w:tcW w:type="dxa" w:w="388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先保全原始資料並記錄事實，再分析可驗證原因、分級風險、指派有期限的措施；完成後依驗收標準及後續抽查決定結案、重開或升級。</w:t>
            </w:r>
          </w:p>
        </w:tc>
        <w:tc>
          <w:tcPr>
            <w:tcW w:type="dxa" w:w="31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一件有來源、有責任人、有期限、有完成證據、有有效性計算及結案決定的異常改善紀錄。</w:t>
            </w:r>
          </w:p>
        </w:tc>
      </w:tr>
    </w:tbl>
    <w:p>
      <w:pPr>
        <w:spacing w:after="20" w:before="0" w:line="240" w:lineRule="auto"/>
      </w:pPr>
      <w:r>
        <w:rPr>
          <w:rFonts w:ascii="Microsoft JhengHei" w:hAnsi="Microsoft JhengHei" w:eastAsia="Microsoft JhengHei" w:cs="Microsoft JhengHei"/>
          <w:color w:val="23313B"/>
          <w:sz w:val="22"/>
        </w:rPr>
      </w:r>
    </w:p>
    <w:p>
      <w:pPr>
        <w:widowControl/>
        <w:spacing w:after="100" w:before="0" w:line="269" w:lineRule="auto"/>
      </w:pPr>
      <w:r>
        <w:rPr>
          <w:rFonts w:ascii="Microsoft JhengHei" w:hAnsi="Microsoft JhengHei" w:eastAsia="Microsoft JhengHei" w:cs="Microsoft JhengHei"/>
          <w:b/>
          <w:color w:val="23313B"/>
          <w:sz w:val="22"/>
        </w:rPr>
        <w:t>使用原則：</w:t>
      </w:r>
      <w:r>
        <w:rPr>
          <w:rFonts w:ascii="Microsoft JhengHei" w:hAnsi="Microsoft JhengHei" w:eastAsia="Microsoft JhengHei" w:cs="Microsoft JhengHei"/>
          <w:i w:val="0"/>
          <w:color w:val="23313B"/>
          <w:sz w:val="22"/>
        </w:rPr>
        <w:t>記錄已知事實、未知事項及依據；不得覆寫原始紀錄、補造簽名，或以合成示例替代真實事件。實案的責任人、核准權限、證據位置及日期須以可查原件替換。</w:t>
      </w: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 w:cs="Microsoft JhengHei"/>
          <w:b/>
          <w:color w:val="234C6A"/>
          <w:sz w:val="28"/>
        </w:rPr>
        <w:t>官方要求來源基礎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3096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來源定位</w:t>
            </w:r>
          </w:p>
        </w:tc>
        <w:tc>
          <w:tcPr>
            <w:tcW w:type="dxa" w:w="6983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精確官方文字</w:t>
            </w:r>
          </w:p>
        </w:tc>
      </w:tr>
      <w:tr>
        <w:trPr>
          <w:cantSplit/>
        </w:trPr>
        <w:tc>
          <w:tcPr>
            <w:tcW w:type="dxa" w:w="309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TTQS查核佐證文件資料表（訓練機構版），第5頁，指標16「管控及異常矯正處理」</w:t>
            </w:r>
          </w:p>
        </w:tc>
        <w:tc>
          <w:tcPr>
            <w:tcW w:type="dxa" w:w="698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官方查核佐證項目：</w:t>
              <w:br/>
              <w:t>「訓練異常處理方法、 紀錄與工具。」</w:t>
              <w:br/>
              <w:br/>
              <w:t>同頁內涵說明：</w:t>
              <w:br/>
              <w:t>「建立適當的程序辦法，訓練流程異常時，應有紀錄及因應措施，必要時採取適當矯正措施防止再發。」</w:t>
            </w:r>
          </w:p>
        </w:tc>
      </w:tr>
    </w:tbl>
    <w:p>
      <w:pPr>
        <w:spacing w:after="20" w:before="0" w:line="240" w:lineRule="auto"/>
      </w:pPr>
      <w:r>
        <w:rPr>
          <w:rFonts w:ascii="Microsoft JhengHei" w:hAnsi="Microsoft JhengHei" w:eastAsia="Microsoft JhengHei" w:cs="Microsoft JhengHei"/>
          <w:color w:val="23313B"/>
          <w:sz w:val="22"/>
        </w:rPr>
      </w:r>
    </w:p>
    <w:p>
      <w:pPr>
        <w:widowControl/>
        <w:spacing w:after="100" w:before="0" w:line="269" w:lineRule="auto"/>
      </w:pPr>
      <w:r>
        <w:rPr>
          <w:rFonts w:ascii="Microsoft JhengHei" w:hAnsi="Microsoft JhengHei" w:eastAsia="Microsoft JhengHei" w:cs="Microsoft JhengHei"/>
          <w:i w:val="0"/>
          <w:color w:val="566671"/>
          <w:sz w:val="22"/>
        </w:rPr>
        <w:t>本紀錄專責呈現單一異常的通報、原因分析、風險、矯正預防措施、驗收、效果覆驗及結案；以上來源原文與示例案例明確分開。</w:t>
      </w: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 w:cs="Microsoft JhengHei"/>
          <w:b/>
          <w:color w:val="234C6A"/>
          <w:sz w:val="28"/>
        </w:rPr>
        <w:t>一、啟動、記錄與保全</w:t>
      </w:r>
    </w:p>
    <w:p>
      <w:pPr>
        <w:widowControl/>
        <w:spacing w:after="100" w:before="0" w:line="269" w:lineRule="auto"/>
      </w:pPr>
      <w:r>
        <w:rPr>
          <w:rFonts w:ascii="Microsoft JhengHei" w:hAnsi="Microsoft JhengHei" w:eastAsia="Microsoft JhengHei" w:cs="Microsoft JhengHei"/>
          <w:i w:val="0"/>
          <w:color w:val="23313B"/>
          <w:sz w:val="22"/>
        </w:rPr>
        <w:t>發現人先開案並保留首次通報內容。記錄發現日期、位置或流程節點、受影響範圍、已知數據、資料來源及尚待查證處；以原始紀錄、系統記錄或可回查清單定位。若原始資料不足，標明「未能確認」，不要推測成已完成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  <w:cantSplit/>
        </w:trPr>
        <w:tc>
          <w:tcPr>
            <w:tcW w:type="dxa" w:w="1152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步驟</w:t>
            </w:r>
          </w:p>
        </w:tc>
        <w:tc>
          <w:tcPr>
            <w:tcW w:type="dxa" w:w="5472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執行與判斷</w:t>
            </w:r>
          </w:p>
        </w:tc>
        <w:tc>
          <w:tcPr>
            <w:tcW w:type="dxa" w:w="3456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當步輸出</w:t>
            </w:r>
          </w:p>
        </w:tc>
      </w:tr>
      <w:tr>
        <w:trPr>
          <w:cantSplit/>
        </w:trPr>
        <w:tc>
          <w:tcPr>
            <w:tcW w:type="dxa" w:w="11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1 通報</w:t>
            </w:r>
          </w:p>
        </w:tc>
        <w:tc>
          <w:tcPr>
            <w:tcW w:type="dxa" w:w="547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說明何時、何處、何種訓練作業出現何種差異；保留原始訊息及來源定位。</w:t>
            </w:r>
          </w:p>
        </w:tc>
        <w:tc>
          <w:tcPr>
            <w:tcW w:type="dxa" w:w="345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案件識別、發現人、發現日、事實與來源。</w:t>
            </w:r>
          </w:p>
        </w:tc>
      </w:tr>
      <w:tr>
        <w:trPr>
          <w:cantSplit/>
        </w:trPr>
        <w:tc>
          <w:tcPr>
            <w:tcW w:type="dxa" w:w="11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2 暫時控制</w:t>
            </w:r>
          </w:p>
        </w:tc>
        <w:tc>
          <w:tcPr>
            <w:tcW w:type="dxa" w:w="547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先防止資料被覆寫、混放或繼續錯用；界定受影響範圍。涉及個資、法令或重大訓練中斷時，立即通知有權主管。</w:t>
            </w:r>
          </w:p>
        </w:tc>
        <w:tc>
          <w:tcPr>
            <w:tcW w:type="dxa" w:w="345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控制方式、執行角色、完成日、尚存風險。</w:t>
            </w:r>
          </w:p>
        </w:tc>
      </w:tr>
      <w:tr>
        <w:trPr>
          <w:cantSplit/>
        </w:trPr>
        <w:tc>
          <w:tcPr>
            <w:tcW w:type="dxa" w:w="11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3 查證與原因</w:t>
            </w:r>
          </w:p>
        </w:tc>
        <w:tc>
          <w:tcPr>
            <w:tcW w:type="dxa" w:w="547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對照原件、欄位或流程記錄；逐層追問原因，直到根因能由證據支持。把直接原因、促成條件及未知事項分開。</w:t>
            </w:r>
          </w:p>
        </w:tc>
        <w:tc>
          <w:tcPr>
            <w:tcW w:type="dxa" w:w="345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原因分類、查證依據、根因判斷及限制。</w:t>
            </w:r>
          </w:p>
        </w:tc>
      </w:tr>
      <w:tr>
        <w:trPr>
          <w:cantSplit/>
        </w:trPr>
        <w:tc>
          <w:tcPr>
            <w:tcW w:type="dxa" w:w="11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4 風險排序</w:t>
            </w:r>
          </w:p>
        </w:tc>
        <w:tc>
          <w:tcPr>
            <w:tcW w:type="dxa" w:w="547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依影響範圍、紀錄完整性、重複可能及可偵測性分為高、中、低；說明判級理由與升級條件。</w:t>
            </w:r>
          </w:p>
        </w:tc>
        <w:tc>
          <w:tcPr>
            <w:tcW w:type="dxa" w:w="345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風險等級、理由、優先次序。</w:t>
            </w:r>
          </w:p>
        </w:tc>
      </w:tr>
      <w:tr>
        <w:trPr>
          <w:cantSplit/>
        </w:trPr>
        <w:tc>
          <w:tcPr>
            <w:tcW w:type="dxa" w:w="11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5 措施及期限</w:t>
            </w:r>
          </w:p>
        </w:tc>
        <w:tc>
          <w:tcPr>
            <w:tcW w:type="dxa" w:w="547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每項措施指定一位負責角色、期限、必要資源、完成證據和可判定的驗收標準。</w:t>
            </w:r>
          </w:p>
        </w:tc>
        <w:tc>
          <w:tcPr>
            <w:tcW w:type="dxa" w:w="345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已排程的矯正／預防行動。</w:t>
            </w:r>
          </w:p>
        </w:tc>
      </w:tr>
      <w:tr>
        <w:trPr>
          <w:cantSplit/>
        </w:trPr>
        <w:tc>
          <w:tcPr>
            <w:tcW w:type="dxa" w:w="11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6 驗收及覆驗</w:t>
            </w:r>
          </w:p>
        </w:tc>
        <w:tc>
          <w:tcPr>
            <w:tcW w:type="dxa" w:w="547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依標準查閱完成證據；在代表性後續事件抽查是否不再發生。算出完成率與有效率。</w:t>
            </w:r>
          </w:p>
        </w:tc>
        <w:tc>
          <w:tcPr>
            <w:tcW w:type="dxa" w:w="345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逐項通過／未通過、抽查數據及計算。</w:t>
            </w:r>
          </w:p>
        </w:tc>
      </w:tr>
      <w:tr>
        <w:trPr>
          <w:cantSplit/>
        </w:trPr>
        <w:tc>
          <w:tcPr>
            <w:tcW w:type="dxa" w:w="11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7 決定</w:t>
            </w:r>
          </w:p>
        </w:tc>
        <w:tc>
          <w:tcPr>
            <w:tcW w:type="dxa" w:w="547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有權主管檢查未結風險、證據、期限及覆驗範圍，再記錄結案、重開或升級決定。</w:t>
            </w:r>
          </w:p>
        </w:tc>
        <w:tc>
          <w:tcPr>
            <w:tcW w:type="dxa" w:w="345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決定人角色、決定日期、理由、後續監測安排。</w:t>
            </w:r>
          </w:p>
        </w:tc>
      </w:tr>
    </w:tbl>
    <w:p>
      <w:pPr>
        <w:spacing w:after="20" w:before="0" w:line="240" w:lineRule="auto"/>
      </w:pPr>
      <w:r>
        <w:rPr>
          <w:rFonts w:ascii="Microsoft JhengHei" w:hAnsi="Microsoft JhengHei" w:eastAsia="Microsoft JhengHei" w:cs="Microsoft JhengHei"/>
          <w:color w:val="23313B"/>
          <w:sz w:val="22"/>
        </w:rPr>
      </w: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 w:cs="Microsoft JhengHei"/>
          <w:b/>
          <w:color w:val="234C6A"/>
          <w:sz w:val="28"/>
        </w:rPr>
        <w:t>二、原因分析、風險與責任</w:t>
      </w:r>
    </w:p>
    <w:p>
      <w:pPr>
        <w:pStyle w:val="Heading2"/>
        <w:keepNext/>
        <w:spacing w:before="120" w:after="80"/>
      </w:pPr>
      <w:r>
        <w:rPr>
          <w:rFonts w:ascii="Microsoft JhengHei" w:hAnsi="Microsoft JhengHei" w:eastAsia="Microsoft JhengHei" w:cs="Microsoft JhengHei"/>
          <w:b/>
          <w:color w:val="234C6A"/>
          <w:sz w:val="24"/>
        </w:rPr>
        <w:t>原因分析方法</w:t>
      </w:r>
    </w:p>
    <w:p>
      <w:pPr>
        <w:widowControl/>
        <w:spacing w:after="100" w:before="0" w:line="269" w:lineRule="auto"/>
      </w:pPr>
      <w:r>
        <w:rPr>
          <w:rFonts w:ascii="Microsoft JhengHei" w:hAnsi="Microsoft JhengHei" w:eastAsia="Microsoft JhengHei" w:cs="Microsoft JhengHei"/>
          <w:i w:val="0"/>
          <w:color w:val="23313B"/>
          <w:sz w:val="22"/>
        </w:rPr>
        <w:t>先固定問題陳述與證據，再用「為什麼會發生」逐層追問。每一層回答都要指出可核對依據；若只能提出推測，列為待查，不當作根因。分析應落到流程、工具、責任界面、能力、資源或控制設計等可改善條件，不以「人員疏忽」結案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1944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查問層</w:t>
            </w:r>
          </w:p>
        </w:tc>
        <w:tc>
          <w:tcPr>
            <w:tcW w:type="dxa" w:w="8136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記錄要點</w:t>
            </w:r>
          </w:p>
        </w:tc>
      </w:tr>
      <w:tr>
        <w:trPr>
          <w:cantSplit/>
        </w:trPr>
        <w:tc>
          <w:tcPr>
            <w:tcW w:type="dxa" w:w="194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直接差異</w:t>
            </w:r>
          </w:p>
        </w:tc>
        <w:tc>
          <w:tcPr>
            <w:tcW w:type="dxa" w:w="813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比較應有狀態與實際狀態；寫出資料來源、日期、範圍及差額。</w:t>
            </w:r>
          </w:p>
        </w:tc>
      </w:tr>
      <w:tr>
        <w:trPr>
          <w:cantSplit/>
        </w:trPr>
        <w:tc>
          <w:tcPr>
            <w:tcW w:type="dxa" w:w="194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直接原因</w:t>
            </w:r>
          </w:p>
        </w:tc>
        <w:tc>
          <w:tcPr>
            <w:tcW w:type="dxa" w:w="813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哪一個操作、交接或控制點使差異發生？誰在何時可從何種記錄核對？</w:t>
            </w:r>
          </w:p>
        </w:tc>
      </w:tr>
      <w:tr>
        <w:trPr>
          <w:cantSplit/>
        </w:trPr>
        <w:tc>
          <w:tcPr>
            <w:tcW w:type="dxa" w:w="194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促成原因</w:t>
            </w:r>
          </w:p>
        </w:tc>
        <w:tc>
          <w:tcPr>
            <w:tcW w:type="dxa" w:w="813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表單、流程、訓練、系統或權責設計是否讓差異容易發生或不易被發現？</w:t>
            </w:r>
          </w:p>
        </w:tc>
      </w:tr>
      <w:tr>
        <w:trPr>
          <w:cantSplit/>
        </w:trPr>
        <w:tc>
          <w:tcPr>
            <w:tcW w:type="dxa" w:w="194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根因確認</w:t>
            </w:r>
          </w:p>
        </w:tc>
        <w:tc>
          <w:tcPr>
            <w:tcW w:type="dxa" w:w="813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移除或改變該條件後，預期哪個控制會防止再發？由什麼證據驗證？</w:t>
            </w:r>
          </w:p>
        </w:tc>
      </w:tr>
    </w:tbl>
    <w:p>
      <w:pPr>
        <w:spacing w:after="20" w:before="0" w:line="240" w:lineRule="auto"/>
      </w:pPr>
      <w:r>
        <w:rPr>
          <w:rFonts w:ascii="Microsoft JhengHei" w:hAnsi="Microsoft JhengHei" w:eastAsia="Microsoft JhengHei" w:cs="Microsoft JhengHei"/>
          <w:color w:val="23313B"/>
          <w:sz w:val="22"/>
        </w:rPr>
      </w:r>
    </w:p>
    <w:p>
      <w:pPr>
        <w:pStyle w:val="Heading2"/>
        <w:keepNext/>
        <w:spacing w:before="120" w:after="80"/>
      </w:pPr>
      <w:r>
        <w:rPr>
          <w:rFonts w:ascii="Microsoft JhengHei" w:hAnsi="Microsoft JhengHei" w:eastAsia="Microsoft JhengHei" w:cs="Microsoft JhengHei"/>
          <w:b/>
          <w:color w:val="234C6A"/>
          <w:sz w:val="24"/>
        </w:rPr>
        <w:t>風險分級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  <w:cantSplit/>
        </w:trPr>
        <w:tc>
          <w:tcPr>
            <w:tcW w:type="dxa" w:w="1080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等級</w:t>
            </w:r>
          </w:p>
        </w:tc>
        <w:tc>
          <w:tcPr>
            <w:tcW w:type="dxa" w:w="4608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判斷線索</w:t>
            </w:r>
          </w:p>
        </w:tc>
        <w:tc>
          <w:tcPr>
            <w:tcW w:type="dxa" w:w="4392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處置與升級</w:t>
            </w:r>
          </w:p>
        </w:tc>
      </w:tr>
      <w:tr>
        <w:trPr>
          <w:cantSplit/>
        </w:trPr>
        <w:tc>
          <w:tcPr>
            <w:tcW w:type="dxa" w:w="108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高</w:t>
            </w:r>
          </w:p>
        </w:tc>
        <w:tc>
          <w:tcPr>
            <w:tcW w:type="dxa" w:w="460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可能造成訓練中斷、法令／個資風險、原始紀錄真偽不明、多人或多案受影響，或相同問題重複發生。</w:t>
            </w:r>
          </w:p>
        </w:tc>
        <w:tc>
          <w:tcPr>
            <w:tcW w:type="dxa" w:w="439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立即控制並通知有權主管；暫停受影響流程或結案；確認外部通報及保全要求。</w:t>
            </w:r>
          </w:p>
        </w:tc>
      </w:tr>
      <w:tr>
        <w:trPr>
          <w:cantSplit/>
        </w:trPr>
        <w:tc>
          <w:tcPr>
            <w:tcW w:type="dxa" w:w="108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中</w:t>
            </w:r>
          </w:p>
        </w:tc>
        <w:tc>
          <w:tcPr>
            <w:tcW w:type="dxa" w:w="460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影響範圍可界定，但追溯、完整性或交接控制不足，需完成矯正並驗證再發風險。</w:t>
            </w:r>
          </w:p>
        </w:tc>
        <w:tc>
          <w:tcPr>
            <w:tcW w:type="dxa" w:w="439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指定優先措施與覆驗樣本；覆驗失敗即重開並升級。</w:t>
            </w:r>
          </w:p>
        </w:tc>
      </w:tr>
      <w:tr>
        <w:trPr>
          <w:cantSplit/>
        </w:trPr>
        <w:tc>
          <w:tcPr>
            <w:tcW w:type="dxa" w:w="108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低</w:t>
            </w:r>
          </w:p>
        </w:tc>
        <w:tc>
          <w:tcPr>
            <w:tcW w:type="dxa" w:w="460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單一可定位差異已即時修正，原始資料完整且無顯著影響；仍能追蹤改善。</w:t>
            </w:r>
          </w:p>
        </w:tc>
        <w:tc>
          <w:tcPr>
            <w:tcW w:type="dxa" w:w="439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記錄修正依據並依風險安排抽查；不得因評為低而省略結案證據。</w:t>
            </w:r>
          </w:p>
        </w:tc>
      </w:tr>
    </w:tbl>
    <w:p>
      <w:pPr>
        <w:spacing w:after="20" w:before="0" w:line="240" w:lineRule="auto"/>
      </w:pPr>
      <w:r>
        <w:rPr>
          <w:rFonts w:ascii="Microsoft JhengHei" w:hAnsi="Microsoft JhengHei" w:eastAsia="Microsoft JhengHei" w:cs="Microsoft JhengHei"/>
          <w:color w:val="23313B"/>
          <w:sz w:val="22"/>
        </w:rPr>
      </w:r>
    </w:p>
    <w:p>
      <w:pPr>
        <w:widowControl/>
        <w:spacing w:after="100" w:before="0" w:line="269" w:lineRule="auto"/>
      </w:pPr>
      <w:r>
        <w:rPr>
          <w:rFonts w:ascii="Microsoft JhengHei" w:hAnsi="Microsoft JhengHei" w:eastAsia="Microsoft JhengHei" w:cs="Microsoft JhengHei"/>
          <w:i w:val="0"/>
          <w:color w:val="566671"/>
          <w:sz w:val="22"/>
        </w:rPr>
        <w:t>分級是本工具的作業參考，實際決策權限與外部通報義務應由機構依適用規範及授權核定。</w:t>
      </w: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 w:cs="Microsoft JhengHei"/>
          <w:b/>
          <w:color w:val="234C6A"/>
          <w:sz w:val="28"/>
        </w:rPr>
        <w:t>三、措施、完成證據與驗收</w:t>
      </w:r>
    </w:p>
    <w:p>
      <w:pPr>
        <w:widowControl/>
        <w:spacing w:after="100" w:before="0" w:line="269" w:lineRule="auto"/>
      </w:pPr>
      <w:r>
        <w:rPr>
          <w:rFonts w:ascii="Microsoft JhengHei" w:hAnsi="Microsoft JhengHei" w:eastAsia="Microsoft JhengHei" w:cs="Microsoft JhengHei"/>
          <w:i w:val="0"/>
          <w:color w:val="23313B"/>
          <w:sz w:val="22"/>
        </w:rPr>
        <w:t>矯正措施處理已發生的差異；預防措施移除根因或補強控制。每一項措施都要連回原因與風險，並寫明責任角色、期限、支援資源、證據位置、驗收標準及實際覆核結果。完成不等於有效，兩者分開判定。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  <w:cantSplit/>
        </w:trPr>
        <w:tc>
          <w:tcPr>
            <w:tcW w:type="dxa" w:w="1800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措施類型</w:t>
            </w:r>
          </w:p>
        </w:tc>
        <w:tc>
          <w:tcPr>
            <w:tcW w:type="dxa" w:w="4968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最低記錄內容</w:t>
            </w:r>
          </w:p>
        </w:tc>
        <w:tc>
          <w:tcPr>
            <w:tcW w:type="dxa" w:w="3311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未達標處理</w:t>
            </w:r>
          </w:p>
        </w:tc>
      </w:tr>
      <w:tr>
        <w:trPr>
          <w:cantSplit/>
        </w:trPr>
        <w:tc>
          <w:tcPr>
            <w:tcW w:type="dxa" w:w="180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立即處置／矯正</w:t>
            </w:r>
          </w:p>
        </w:tc>
        <w:tc>
          <w:tcPr>
            <w:tcW w:type="dxa" w:w="49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控制範圍、原件保全、已修正差異、修正依據與驗收結果。</w:t>
            </w:r>
          </w:p>
        </w:tc>
        <w:tc>
          <w:tcPr>
            <w:tcW w:type="dxa" w:w="331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資料未能核實或來源不完整時，保留未結狀態並升級；不以補造紀錄取代。</w:t>
            </w:r>
          </w:p>
        </w:tc>
      </w:tr>
      <w:tr>
        <w:trPr>
          <w:cantSplit/>
        </w:trPr>
        <w:tc>
          <w:tcPr>
            <w:tcW w:type="dxa" w:w="180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根因改善／預防</w:t>
            </w:r>
          </w:p>
        </w:tc>
        <w:tc>
          <w:tcPr>
            <w:tcW w:type="dxa" w:w="49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針對根因修改流程或工具；指定負責角色、期限、資源與完成證據。</w:t>
            </w:r>
          </w:p>
        </w:tc>
        <w:tc>
          <w:tcPr>
            <w:tcW w:type="dxa" w:w="331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到期未完成標示逾期，主管確認風險與新期限；不可靜默延長或刪除原期限。</w:t>
            </w:r>
          </w:p>
        </w:tc>
      </w:tr>
      <w:tr>
        <w:trPr>
          <w:cantSplit/>
        </w:trPr>
        <w:tc>
          <w:tcPr>
            <w:tcW w:type="dxa" w:w="180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有效性覆驗</w:t>
            </w:r>
          </w:p>
        </w:tc>
        <w:tc>
          <w:tcPr>
            <w:tcW w:type="dxa" w:w="49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定義母體、抽查單位、期間、通過條件、通過件數與抽查件數。</w:t>
            </w:r>
          </w:p>
        </w:tc>
        <w:tc>
          <w:tcPr>
            <w:tcW w:type="dxa" w:w="331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任一代表性樣本重現差異或資料不可追溯，判無效、重開分析並增加控制。</w:t>
            </w:r>
          </w:p>
        </w:tc>
      </w:tr>
    </w:tbl>
    <w:p>
      <w:pPr>
        <w:spacing w:after="20" w:before="0" w:line="240" w:lineRule="auto"/>
      </w:pPr>
      <w:r>
        <w:rPr>
          <w:rFonts w:ascii="Microsoft JhengHei" w:hAnsi="Microsoft JhengHei" w:eastAsia="Microsoft JhengHei" w:cs="Microsoft JhengHei"/>
          <w:color w:val="23313B"/>
          <w:sz w:val="22"/>
        </w:rPr>
      </w:r>
    </w:p>
    <w:p>
      <w:pPr>
        <w:pStyle w:val="Heading2"/>
        <w:keepNext/>
        <w:spacing w:before="120" w:after="80"/>
      </w:pPr>
      <w:r>
        <w:rPr>
          <w:rFonts w:ascii="Microsoft JhengHei" w:hAnsi="Microsoft JhengHei" w:eastAsia="Microsoft JhengHei" w:cs="Microsoft JhengHei"/>
          <w:b/>
          <w:color w:val="234C6A"/>
          <w:sz w:val="24"/>
        </w:rPr>
        <w:t>完成證據的判讀</w:t>
      </w:r>
    </w:p>
    <w:p>
      <w:pPr>
        <w:widowControl/>
        <w:spacing w:after="100" w:before="0" w:line="269" w:lineRule="auto"/>
      </w:pPr>
      <w:r>
        <w:rPr>
          <w:rFonts w:ascii="Microsoft JhengHei" w:hAnsi="Microsoft JhengHei" w:eastAsia="Microsoft JhengHei" w:cs="Microsoft JhengHei"/>
          <w:i w:val="0"/>
          <w:color w:val="23313B"/>
          <w:sz w:val="22"/>
        </w:rPr>
        <w:t>可接受的完成證據應能讓另一位覆核者重做判斷，例如原始記錄定位、系統操作軌跡、已核定流程／表單版本及抽查記錄。只寫「已完成」、只有口頭說明、沒有來源定位，或由措施負責人自我宣稱有效，均不足以結案。第三方或真人文件須由合法來源取得；本工具不代製附件、簽章、證書或外部證明。</w:t>
      </w: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 w:cs="Microsoft JhengHei"/>
          <w:b/>
          <w:color w:val="234C6A"/>
          <w:sz w:val="28"/>
        </w:rPr>
        <w:t>四、完整示範閉環案例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80"/>
            <w:shd w:fill="E8F2EA"/>
            <w:tcMar>
              <w:top w:w="120" w:type="dxa"/>
              <w:start w:w="145" w:type="dxa"/>
              <w:bottom w:w="120" w:type="dxa"/>
              <w:end w:w="145" w:type="dxa"/>
            </w:tcMar>
          </w:tcPr>
          <w:p>
            <w:pPr>
              <w:spacing w:after="0" w:line="264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4C6A"/>
                <w:sz w:val="20"/>
              </w:rPr>
              <w:t xml:space="preserve">案例邊界　</w:t>
            </w:r>
            <w:r>
              <w:rPr>
                <w:rFonts w:ascii="Microsoft JhengHei" w:hAnsi="Microsoft JhengHei" w:eastAsia="Microsoft JhengHei" w:cs="Microsoft JhengHei"/>
                <w:color w:val="23313B"/>
                <w:sz w:val="20"/>
              </w:rPr>
              <w:t>以下為內部交接控制的合成示例。數據與決定只用來展示紀錄方法；沒有附件原件、真人簽署或外部事實，也不推論課程成效。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376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案件識別與通報</w:t>
            </w:r>
          </w:p>
        </w:tc>
        <w:tc>
          <w:tcPr>
            <w:tcW w:type="dxa" w:w="7703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案例填入內容</w:t>
            </w:r>
          </w:p>
        </w:tc>
      </w:tr>
      <w:tr>
        <w:trPr>
          <w:cantSplit/>
        </w:trPr>
        <w:tc>
          <w:tcPr>
            <w:tcW w:type="dxa" w:w="237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案件代碼／狀態</w:t>
            </w:r>
          </w:p>
        </w:tc>
        <w:tc>
          <w:tcPr>
            <w:tcW w:type="dxa" w:w="770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示例案件一／結案（示範資料）</w:t>
            </w:r>
          </w:p>
        </w:tc>
      </w:tr>
      <w:tr>
        <w:trPr>
          <w:cantSplit/>
        </w:trPr>
        <w:tc>
          <w:tcPr>
            <w:tcW w:type="dxa" w:w="237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異常日期；發現及開案日期</w:t>
            </w:r>
          </w:p>
        </w:tc>
        <w:tc>
          <w:tcPr>
            <w:tcW w:type="dxa" w:w="770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2026-09-03；2026-09-04</w:t>
            </w:r>
          </w:p>
        </w:tc>
      </w:tr>
      <w:tr>
        <w:trPr>
          <w:cantSplit/>
        </w:trPr>
        <w:tc>
          <w:tcPr>
            <w:tcW w:type="dxa" w:w="237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通報與責任角色</w:t>
            </w:r>
          </w:p>
        </w:tc>
        <w:tc>
          <w:tcPr>
            <w:tcW w:type="dxa" w:w="770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通報：紀錄管理角色甲；預防改善：課務角色乙；獨立覆核及結案決定：主管角色丙。均為示例角色，不代表真人或簽章。</w:t>
            </w:r>
          </w:p>
        </w:tc>
      </w:tr>
      <w:tr>
        <w:trPr>
          <w:cantSplit/>
        </w:trPr>
        <w:tc>
          <w:tcPr>
            <w:tcW w:type="dxa" w:w="237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問題／範圍</w:t>
            </w:r>
          </w:p>
        </w:tc>
        <w:tc>
          <w:tcPr>
            <w:tcW w:type="dxa" w:w="770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某次訓練結束後，交接紀錄未留下應收件數、實收件數及覆核者，無法只依交接紀錄追溯完整性。</w:t>
            </w:r>
          </w:p>
        </w:tc>
      </w:tr>
      <w:tr>
        <w:trPr>
          <w:cantSplit/>
        </w:trPr>
        <w:tc>
          <w:tcPr>
            <w:tcW w:type="dxa" w:w="237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可核對的案例數據</w:t>
            </w:r>
          </w:p>
        </w:tc>
        <w:tc>
          <w:tcPr>
            <w:tcW w:type="dxa" w:w="770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案例清點摘要記載應收12件、歸檔12件、差異0件；此處僅為文件內合成摘要，不表示附有或重製任何學員原始資料。</w:t>
            </w:r>
          </w:p>
        </w:tc>
      </w:tr>
      <w:tr>
        <w:trPr>
          <w:cantSplit/>
        </w:trPr>
        <w:tc>
          <w:tcPr>
            <w:tcW w:type="dxa" w:w="237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原因分析</w:t>
            </w:r>
          </w:p>
        </w:tc>
        <w:tc>
          <w:tcPr>
            <w:tcW w:type="dxa" w:w="770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直接原因：交接清單沒有應收／實收／差異及覆核欄。促成原因：結案判斷只看資料夾存在，未指定交接覆核點。根因：交接控制設計沒有要求件數對帳及第二人確認。依據：本例的清單欄位摘要與12／12／0清點結果。</w:t>
            </w:r>
          </w:p>
        </w:tc>
      </w:tr>
      <w:tr>
        <w:trPr>
          <w:cantSplit/>
        </w:trPr>
        <w:tc>
          <w:tcPr>
            <w:tcW w:type="dxa" w:w="237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風險與優先順序</w:t>
            </w:r>
          </w:p>
        </w:tc>
        <w:tc>
          <w:tcPr>
            <w:tcW w:type="dxa" w:w="770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中。現有案例清點可對上，但原交接軌跡不足、後續追溯受限；本案例未記載訓練中斷或已證實外部損失。優先完成交接欄位改善與獨立覆驗。</w:t>
            </w:r>
          </w:p>
        </w:tc>
      </w:tr>
    </w:tbl>
    <w:p>
      <w:pPr>
        <w:spacing w:after="20" w:before="0" w:line="240" w:lineRule="auto"/>
      </w:pPr>
      <w:r>
        <w:rPr>
          <w:rFonts w:ascii="Microsoft JhengHei" w:hAnsi="Microsoft JhengHei" w:eastAsia="Microsoft JhengHei" w:cs="Microsoft JhengHei"/>
          <w:color w:val="23313B"/>
          <w:sz w:val="22"/>
        </w:rPr>
      </w:r>
    </w:p>
    <w:p>
      <w:pPr>
        <w:pStyle w:val="Heading2"/>
        <w:keepNext/>
        <w:spacing w:before="120" w:after="80"/>
      </w:pPr>
      <w:r>
        <w:rPr>
          <w:rFonts w:ascii="Microsoft JhengHei" w:hAnsi="Microsoft JhengHei" w:eastAsia="Microsoft JhengHei" w:cs="Microsoft JhengHei"/>
          <w:b/>
          <w:color w:val="234C6A"/>
          <w:sz w:val="24"/>
        </w:rPr>
        <w:t>措施及完成驗收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  <w:cantSplit/>
        </w:trPr>
        <w:tc>
          <w:tcPr>
            <w:tcW w:type="dxa" w:w="3384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措施／責任／期限</w:t>
            </w:r>
          </w:p>
        </w:tc>
        <w:tc>
          <w:tcPr>
            <w:tcW w:type="dxa" w:w="3671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完成證據與驗收標準</w:t>
            </w:r>
          </w:p>
        </w:tc>
        <w:tc>
          <w:tcPr>
            <w:tcW w:type="dxa" w:w="3024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示例覆核結果</w:t>
            </w:r>
          </w:p>
        </w:tc>
      </w:tr>
      <w:tr>
        <w:trPr>
          <w:cantSplit/>
        </w:trPr>
        <w:tc>
          <w:tcPr>
            <w:tcW w:type="dxa" w:w="338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矯正：把本次應收、實收、差異及原件位置記入案件追蹤，保留原件不改寫。負責：紀錄管理角色甲。期限：2026-09-04。資源：既有紀錄管理作業。</w:t>
            </w:r>
          </w:p>
        </w:tc>
        <w:tc>
          <w:tcPr>
            <w:tcW w:type="dxa" w:w="367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標準：應收、實收及差異欄一致；來源可回查；不重製或補簽原件。證據定位：本節案例數據列。</w:t>
            </w:r>
          </w:p>
        </w:tc>
        <w:tc>
          <w:tcPr>
            <w:tcW w:type="dxa" w:w="302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2026-09-04記錄12／12／0，數量相符；未以新製表單替代原件。驗收：通過。</w:t>
            </w:r>
          </w:p>
        </w:tc>
      </w:tr>
      <w:tr>
        <w:trPr>
          <w:cantSplit/>
        </w:trPr>
        <w:tc>
          <w:tcPr>
            <w:tcW w:type="dxa" w:w="338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預防：在交接清單新增應收、實收、差異、交接角色、交接日期與覆核角色欄；未完成對帳不得標記結束。負責：課務角色乙。期限：2026-09-10。資源：既有表單管理權限與課務作業。</w:t>
            </w:r>
          </w:p>
        </w:tc>
        <w:tc>
          <w:tcPr>
            <w:tcW w:type="dxa" w:w="367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標準：六項控制欄位均存在；交接責任明確；未對帳時可保留未結狀態。證據定位：本項措施摘要。</w:t>
            </w:r>
          </w:p>
        </w:tc>
        <w:tc>
          <w:tcPr>
            <w:tcW w:type="dxa" w:w="302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2026-09-10完成欄位及結案控制調整；覆核角色丙按標準檢視。驗收：通過。</w:t>
            </w:r>
          </w:p>
        </w:tc>
      </w:tr>
      <w:tr>
        <w:trPr>
          <w:cantSplit/>
        </w:trPr>
        <w:tc>
          <w:tcPr>
            <w:tcW w:type="dxa" w:w="338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有效性覆驗：對後續兩個結訓交接批次逐件核對清單與歸檔；任一件數不符或無法追溯即判無效並重開。負責：主管角色丙。期限：2026-09-17。資源：主管抽查時間。</w:t>
            </w:r>
          </w:p>
        </w:tc>
        <w:tc>
          <w:tcPr>
            <w:tcW w:type="dxa" w:w="367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標準：兩個抽查批次均能核對應收與實收、差異為零、覆核記錄完整。證據定位：下表的兩筆抽查摘要。</w:t>
            </w:r>
          </w:p>
        </w:tc>
        <w:tc>
          <w:tcPr>
            <w:tcW w:type="dxa" w:w="302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2026-09-17彙整覆驗；兩筆均達標。驗收：通過，僅對本案例定義的抽查範圍有效。</w:t>
            </w:r>
          </w:p>
        </w:tc>
      </w:tr>
    </w:tbl>
    <w:p>
      <w:pPr>
        <w:spacing w:after="20" w:before="0" w:line="240" w:lineRule="auto"/>
      </w:pPr>
      <w:r>
        <w:rPr>
          <w:rFonts w:ascii="Microsoft JhengHei" w:hAnsi="Microsoft JhengHei" w:eastAsia="Microsoft JhengHei" w:cs="Microsoft JhengHei"/>
          <w:color w:val="23313B"/>
          <w:sz w:val="22"/>
        </w:rPr>
      </w:r>
    </w:p>
    <w:p>
      <w:pPr>
        <w:pStyle w:val="Heading2"/>
        <w:keepNext/>
        <w:spacing w:before="120" w:after="80"/>
      </w:pPr>
      <w:r>
        <w:rPr>
          <w:rFonts w:ascii="Microsoft JhengHei" w:hAnsi="Microsoft JhengHei" w:eastAsia="Microsoft JhengHei" w:cs="Microsoft JhengHei"/>
          <w:b/>
          <w:color w:val="234C6A"/>
          <w:sz w:val="24"/>
        </w:rPr>
        <w:t>有效性計算及結案決定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  <w:cantSplit/>
        </w:trPr>
        <w:tc>
          <w:tcPr>
            <w:tcW w:type="dxa" w:w="2880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抽查單位／日期</w:t>
            </w:r>
          </w:p>
        </w:tc>
        <w:tc>
          <w:tcPr>
            <w:tcW w:type="dxa" w:w="5472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核對摘要</w:t>
            </w:r>
          </w:p>
        </w:tc>
        <w:tc>
          <w:tcPr>
            <w:tcW w:type="dxa" w:w="1728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結果</w:t>
            </w:r>
          </w:p>
        </w:tc>
      </w:tr>
      <w:tr>
        <w:trPr>
          <w:cantSplit/>
        </w:trPr>
        <w:tc>
          <w:tcPr>
            <w:tcW w:type="dxa" w:w="288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後續交接批次甲／2026-09-11</w:t>
            </w:r>
          </w:p>
        </w:tc>
        <w:tc>
          <w:tcPr>
            <w:tcW w:type="dxa" w:w="547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清單與歸檔逐件相符；差異為零；覆核欄完整。</w:t>
            </w:r>
          </w:p>
        </w:tc>
        <w:tc>
          <w:tcPr>
            <w:tcW w:type="dxa" w:w="172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通過</w:t>
            </w:r>
          </w:p>
        </w:tc>
      </w:tr>
      <w:tr>
        <w:trPr>
          <w:cantSplit/>
        </w:trPr>
        <w:tc>
          <w:tcPr>
            <w:tcW w:type="dxa" w:w="288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後續交接批次乙／2026-09-14</w:t>
            </w:r>
          </w:p>
        </w:tc>
        <w:tc>
          <w:tcPr>
            <w:tcW w:type="dxa" w:w="547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清單與歸檔逐件相符；差異為零；覆核欄完整。</w:t>
            </w:r>
          </w:p>
        </w:tc>
        <w:tc>
          <w:tcPr>
            <w:tcW w:type="dxa" w:w="172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通過</w:t>
            </w:r>
          </w:p>
        </w:tc>
      </w:tr>
    </w:tbl>
    <w:p>
      <w:pPr>
        <w:spacing w:after="20" w:before="0" w:line="240" w:lineRule="auto"/>
      </w:pPr>
      <w:r>
        <w:rPr>
          <w:rFonts w:ascii="Microsoft JhengHei" w:hAnsi="Microsoft JhengHei" w:eastAsia="Microsoft JhengHei" w:cs="Microsoft JhengHei"/>
          <w:color w:val="23313B"/>
          <w:sz w:val="22"/>
        </w:rPr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  <w:cantSplit/>
        </w:trPr>
        <w:tc>
          <w:tcPr>
            <w:tcW w:type="dxa" w:w="1655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指標</w:t>
            </w:r>
          </w:p>
        </w:tc>
        <w:tc>
          <w:tcPr>
            <w:tcW w:type="dxa" w:w="3600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逐步計算</w:t>
            </w:r>
          </w:p>
        </w:tc>
        <w:tc>
          <w:tcPr>
            <w:tcW w:type="dxa" w:w="4824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示例結果與解讀</w:t>
            </w:r>
          </w:p>
        </w:tc>
      </w:tr>
      <w:tr>
        <w:trPr>
          <w:cantSplit/>
        </w:trPr>
        <w:tc>
          <w:tcPr>
            <w:tcW w:type="dxa" w:w="1655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有效率</w:t>
            </w:r>
          </w:p>
        </w:tc>
        <w:tc>
          <w:tcPr>
            <w:tcW w:type="dxa" w:w="360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通過覆驗批次數 ÷ 抽查批次數 = 2 ÷ 2 × 100%</w:t>
            </w:r>
          </w:p>
        </w:tc>
        <w:tc>
          <w:tcPr>
            <w:tcW w:type="dxa" w:w="482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100%。分母為本案兩個後續交接批次；兩批均通過。僅能支持此抽查範圍。</w:t>
            </w:r>
          </w:p>
        </w:tc>
      </w:tr>
      <w:tr>
        <w:trPr>
          <w:cantSplit/>
        </w:trPr>
        <w:tc>
          <w:tcPr>
            <w:tcW w:type="dxa" w:w="1655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改善完成率</w:t>
            </w:r>
          </w:p>
        </w:tc>
        <w:tc>
          <w:tcPr>
            <w:tcW w:type="dxa" w:w="360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已驗收完成措施數 ÷ 應完成措施數 = 3 ÷ 3 × 100%</w:t>
            </w:r>
          </w:p>
        </w:tc>
        <w:tc>
          <w:tcPr>
            <w:tcW w:type="dxa" w:w="482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100%。分母為本案排定的三項措施；三項均有示例驗收結果。</w:t>
            </w:r>
          </w:p>
        </w:tc>
      </w:tr>
      <w:tr>
        <w:trPr>
          <w:cantSplit/>
        </w:trPr>
        <w:tc>
          <w:tcPr>
            <w:tcW w:type="dxa" w:w="1655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覆核決定</w:t>
            </w:r>
          </w:p>
        </w:tc>
        <w:tc>
          <w:tcPr>
            <w:tcW w:type="dxa" w:w="360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2026-09-17；主管角色丙記錄示例判斷。</w:t>
            </w:r>
          </w:p>
        </w:tc>
        <w:tc>
          <w:tcPr>
            <w:tcW w:type="dxa" w:w="482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在上述有限抽查範圍內判定措施有效並結案；維持日常交接監測。這不是機構實績或真人核准。</w:t>
            </w:r>
          </w:p>
        </w:tc>
      </w:tr>
    </w:tbl>
    <w:p>
      <w:pPr>
        <w:spacing w:after="20" w:before="0" w:line="240" w:lineRule="auto"/>
      </w:pPr>
      <w:r>
        <w:rPr>
          <w:rFonts w:ascii="Microsoft JhengHei" w:hAnsi="Microsoft JhengHei" w:eastAsia="Microsoft JhengHei" w:cs="Microsoft JhengHei"/>
          <w:color w:val="23313B"/>
          <w:sz w:val="22"/>
        </w:rPr>
      </w: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 w:cs="Microsoft JhengHei"/>
          <w:b/>
          <w:color w:val="234C6A"/>
          <w:sz w:val="28"/>
        </w:rPr>
        <w:t>五、逾期、無效、重開與升級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  <w:cantSplit/>
        </w:trPr>
        <w:tc>
          <w:tcPr>
            <w:tcW w:type="dxa" w:w="2088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情形</w:t>
            </w:r>
          </w:p>
        </w:tc>
        <w:tc>
          <w:tcPr>
            <w:tcW w:type="dxa" w:w="5256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必做處理</w:t>
            </w:r>
          </w:p>
        </w:tc>
        <w:tc>
          <w:tcPr>
            <w:tcW w:type="dxa" w:w="2736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結案限制</w:t>
            </w:r>
          </w:p>
        </w:tc>
      </w:tr>
      <w:tr>
        <w:trPr>
          <w:cantSplit/>
        </w:trPr>
        <w:tc>
          <w:tcPr>
            <w:tcW w:type="dxa" w:w="208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措施逾期</w:t>
            </w:r>
          </w:p>
        </w:tc>
        <w:tc>
          <w:tcPr>
            <w:tcW w:type="dxa" w:w="525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期限當日仍未達標即標示逾期；負責人說明原因、剩餘風險與可行的新期限；主管重新排序資源並記錄通知。</w:t>
            </w:r>
          </w:p>
        </w:tc>
        <w:tc>
          <w:tcPr>
            <w:tcW w:type="dxa" w:w="273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原期限保留；未更新風險、責任與期限不得結案。高風險逾期立即升級。</w:t>
            </w:r>
          </w:p>
        </w:tc>
      </w:tr>
      <w:tr>
        <w:trPr>
          <w:cantSplit/>
        </w:trPr>
        <w:tc>
          <w:tcPr>
            <w:tcW w:type="dxa" w:w="208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驗收未通過</w:t>
            </w:r>
          </w:p>
        </w:tc>
        <w:tc>
          <w:tcPr>
            <w:tcW w:type="dxa" w:w="525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記錄未達標欄位、證據及原因；保持案件開啟，另列修正措施並重新驗收。</w:t>
            </w:r>
          </w:p>
        </w:tc>
        <w:tc>
          <w:tcPr>
            <w:tcW w:type="dxa" w:w="273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不得把未完成標示成完成，也不得只改驗收敘述。</w:t>
            </w:r>
          </w:p>
        </w:tc>
      </w:tr>
      <w:tr>
        <w:trPr>
          <w:cantSplit/>
        </w:trPr>
        <w:tc>
          <w:tcPr>
            <w:tcW w:type="dxa" w:w="208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有效性無效／再發</w:t>
            </w:r>
          </w:p>
        </w:tc>
        <w:tc>
          <w:tcPr>
            <w:tcW w:type="dxa" w:w="525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判定無效，重開原案或建立可回連的新案；擴大原因分析及樣本，檢查根因與控制是否充分。</w:t>
            </w:r>
          </w:p>
        </w:tc>
        <w:tc>
          <w:tcPr>
            <w:tcW w:type="dxa" w:w="273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未完成重新措施及新一輪覆驗前不得結案。</w:t>
            </w:r>
          </w:p>
        </w:tc>
      </w:tr>
      <w:tr>
        <w:trPr>
          <w:cantSplit/>
        </w:trPr>
        <w:tc>
          <w:tcPr>
            <w:tcW w:type="dxa" w:w="208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資料真偽或範圍不明、可能重大影響</w:t>
            </w:r>
          </w:p>
        </w:tc>
        <w:tc>
          <w:tcPr>
            <w:tcW w:type="dxa" w:w="525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保全原始材料，停止以推測補值；通知具權責主管，依適用規範決定是否暫停流程或對外處理。</w:t>
            </w:r>
          </w:p>
        </w:tc>
        <w:tc>
          <w:tcPr>
            <w:tcW w:type="dxa" w:w="273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只有來源可驗證、風險受控且權責主管作成有據決定後才可結案。</w:t>
            </w:r>
          </w:p>
        </w:tc>
      </w:tr>
    </w:tbl>
    <w:p>
      <w:pPr>
        <w:spacing w:after="20" w:before="0" w:line="240" w:lineRule="auto"/>
      </w:pPr>
      <w:r>
        <w:rPr>
          <w:rFonts w:ascii="Microsoft JhengHei" w:hAnsi="Microsoft JhengHei" w:eastAsia="Microsoft JhengHei" w:cs="Microsoft JhengHei"/>
          <w:color w:val="23313B"/>
          <w:sz w:val="22"/>
        </w:rPr>
      </w:r>
    </w:p>
    <w:p>
      <w:pPr>
        <w:widowControl/>
        <w:spacing w:after="100" w:before="0" w:line="269" w:lineRule="auto"/>
      </w:pPr>
      <w:r>
        <w:rPr>
          <w:rFonts w:ascii="Microsoft JhengHei" w:hAnsi="Microsoft JhengHei" w:eastAsia="Microsoft JhengHei" w:cs="Microsoft JhengHei"/>
          <w:b/>
          <w:color w:val="23313B"/>
          <w:sz w:val="22"/>
        </w:rPr>
        <w:t>重開時</w:t>
      </w:r>
      <w:r>
        <w:rPr>
          <w:rFonts w:ascii="Microsoft JhengHei" w:hAnsi="Microsoft JhengHei" w:eastAsia="Microsoft JhengHei" w:cs="Microsoft JhengHei"/>
          <w:i w:val="0"/>
          <w:color w:val="23313B"/>
          <w:sz w:val="22"/>
        </w:rPr>
        <w:t>保留原案的原始通報、既有決定和措施結果；以新增追蹤記錄承接，不刪改曾經失敗的證據。</w:t>
      </w: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 w:cs="Microsoft JhengHei"/>
          <w:b/>
          <w:color w:val="234C6A"/>
          <w:sz w:val="28"/>
        </w:rPr>
        <w:t>六、狀態定義、結案權責與紀錄邊界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  <w:cantSplit/>
        </w:trPr>
        <w:tc>
          <w:tcPr>
            <w:tcW w:type="dxa" w:w="1655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狀態</w:t>
            </w:r>
          </w:p>
        </w:tc>
        <w:tc>
          <w:tcPr>
            <w:tcW w:type="dxa" w:w="4031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進入條件</w:t>
            </w:r>
          </w:p>
        </w:tc>
        <w:tc>
          <w:tcPr>
            <w:tcW w:type="dxa" w:w="4392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離開條件／權責</w:t>
            </w:r>
          </w:p>
        </w:tc>
      </w:tr>
      <w:tr>
        <w:trPr>
          <w:cantSplit/>
        </w:trPr>
        <w:tc>
          <w:tcPr>
            <w:tcW w:type="dxa" w:w="1655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新通報</w:t>
            </w:r>
          </w:p>
        </w:tc>
        <w:tc>
          <w:tcPr>
            <w:tcW w:type="dxa" w:w="403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已登錄基本事實及來源，範圍或原因仍待查。</w:t>
            </w:r>
          </w:p>
        </w:tc>
        <w:tc>
          <w:tcPr>
            <w:tcW w:type="dxa" w:w="439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責任主管分派負責角色、風險等級與期限後進入處置中。</w:t>
            </w:r>
          </w:p>
        </w:tc>
      </w:tr>
      <w:tr>
        <w:trPr>
          <w:cantSplit/>
        </w:trPr>
        <w:tc>
          <w:tcPr>
            <w:tcW w:type="dxa" w:w="1655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處置中</w:t>
            </w:r>
          </w:p>
        </w:tc>
        <w:tc>
          <w:tcPr>
            <w:tcW w:type="dxa" w:w="403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暫時控制、原因分析或措施尚未完成。</w:t>
            </w:r>
          </w:p>
        </w:tc>
        <w:tc>
          <w:tcPr>
            <w:tcW w:type="dxa" w:w="439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各項完成證據依標準驗收後轉待覆驗；逾期按前節處理。</w:t>
            </w:r>
          </w:p>
        </w:tc>
      </w:tr>
      <w:tr>
        <w:trPr>
          <w:cantSplit/>
        </w:trPr>
        <w:tc>
          <w:tcPr>
            <w:tcW w:type="dxa" w:w="1655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待覆驗</w:t>
            </w:r>
          </w:p>
        </w:tc>
        <w:tc>
          <w:tcPr>
            <w:tcW w:type="dxa" w:w="403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措施通過完成驗收，尚未證明後續有效。</w:t>
            </w:r>
          </w:p>
        </w:tc>
        <w:tc>
          <w:tcPr>
            <w:tcW w:type="dxa" w:w="439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完成預定抽查並有可重算結果；無效即重開。</w:t>
            </w:r>
          </w:p>
        </w:tc>
      </w:tr>
      <w:tr>
        <w:trPr>
          <w:cantSplit/>
        </w:trPr>
        <w:tc>
          <w:tcPr>
            <w:tcW w:type="dxa" w:w="1655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逾期／升級</w:t>
            </w:r>
          </w:p>
        </w:tc>
        <w:tc>
          <w:tcPr>
            <w:tcW w:type="dxa" w:w="403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任何措施逾期、重大風險或來源不明。</w:t>
            </w:r>
          </w:p>
        </w:tc>
        <w:tc>
          <w:tcPr>
            <w:tcW w:type="dxa" w:w="439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有權主管重新評估、記錄措施與期限；未解決不得結案。</w:t>
            </w:r>
          </w:p>
        </w:tc>
      </w:tr>
      <w:tr>
        <w:trPr>
          <w:cantSplit/>
        </w:trPr>
        <w:tc>
          <w:tcPr>
            <w:tcW w:type="dxa" w:w="1655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重開</w:t>
            </w:r>
          </w:p>
        </w:tc>
        <w:tc>
          <w:tcPr>
            <w:tcW w:type="dxa" w:w="403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覆驗失敗、同類問題再發或原結案依據失效。</w:t>
            </w:r>
          </w:p>
        </w:tc>
        <w:tc>
          <w:tcPr>
            <w:tcW w:type="dxa" w:w="439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保留舊版決定，新增原因、措施與覆驗，重新走完閉環。</w:t>
            </w:r>
          </w:p>
        </w:tc>
      </w:tr>
      <w:tr>
        <w:trPr>
          <w:cantSplit/>
        </w:trPr>
        <w:tc>
          <w:tcPr>
            <w:tcW w:type="dxa" w:w="1655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結案</w:t>
            </w:r>
          </w:p>
        </w:tc>
        <w:tc>
          <w:tcPr>
            <w:tcW w:type="dxa" w:w="403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措施全數驗收，覆驗達標，未結風險有處置，資料來源可查。</w:t>
            </w:r>
          </w:p>
        </w:tc>
        <w:tc>
          <w:tcPr>
            <w:tcW w:type="dxa" w:w="439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由具權責且非單獨措施執行者的主管作成有據決定；留存日期、角色、理由與後續監測安排。</w:t>
            </w:r>
          </w:p>
        </w:tc>
      </w:tr>
    </w:tbl>
    <w:p>
      <w:pPr>
        <w:spacing w:after="20" w:before="0" w:line="240" w:lineRule="auto"/>
      </w:pPr>
      <w:r>
        <w:rPr>
          <w:rFonts w:ascii="Microsoft JhengHei" w:hAnsi="Microsoft JhengHei" w:eastAsia="Microsoft JhengHei" w:cs="Microsoft JhengHei"/>
          <w:color w:val="23313B"/>
          <w:sz w:val="22"/>
        </w:rPr>
      </w:r>
    </w:p>
    <w:p>
      <w:pPr>
        <w:pStyle w:val="Heading2"/>
        <w:keepNext/>
        <w:spacing w:before="120" w:after="80"/>
      </w:pPr>
      <w:r>
        <w:rPr>
          <w:rFonts w:ascii="Microsoft JhengHei" w:hAnsi="Microsoft JhengHei" w:eastAsia="Microsoft JhengHei" w:cs="Microsoft JhengHei"/>
          <w:b/>
          <w:color w:val="234C6A"/>
          <w:sz w:val="24"/>
        </w:rPr>
        <w:t>本件與相鄰紀錄的功能界線</w:t>
      </w:r>
    </w:p>
    <w:p>
      <w:pPr>
        <w:widowControl/>
        <w:spacing w:after="100" w:before="0" w:line="269" w:lineRule="auto"/>
      </w:pPr>
      <w:r>
        <w:rPr>
          <w:rFonts w:ascii="Microsoft JhengHei" w:hAnsi="Microsoft JhengHei" w:eastAsia="Microsoft JhengHei" w:cs="Microsoft JhengHei"/>
          <w:i w:val="0"/>
          <w:color w:val="23313B"/>
          <w:sz w:val="22"/>
        </w:rPr>
        <w:t>本件只記單一異常的事實、原因、措施與成效。日常訓練流程的例行管控及紀錄應放在《訓練流程的管控方法及紀錄》；整體內外稽核的計畫與發現應放在《訓練的內外稽核流程與紀錄》；通用處理步驟與操作工具應放在《訓練異常處理程序與工具》。引用相關紀錄時只留可核對的結果與定位，不複製其他紀錄正文。</w:t>
      </w: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 w:cs="Microsoft JhengHei"/>
          <w:b/>
          <w:color w:val="234C6A"/>
          <w:sz w:val="28"/>
        </w:rPr>
        <w:t>七、REAL資料替換區與證據索引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80"/>
            <w:shd w:fill="FFF3D8"/>
            <w:tcMar>
              <w:top w:w="120" w:type="dxa"/>
              <w:start w:w="145" w:type="dxa"/>
              <w:bottom w:w="120" w:type="dxa"/>
              <w:end w:w="145" w:type="dxa"/>
            </w:tcMar>
          </w:tcPr>
          <w:p>
            <w:pPr>
              <w:spacing w:after="0" w:line="264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4C6A"/>
                <w:sz w:val="20"/>
              </w:rPr>
              <w:t xml:space="preserve">轉為實案前　</w:t>
            </w:r>
            <w:r>
              <w:rPr>
                <w:rFonts w:ascii="Microsoft JhengHei" w:hAnsi="Microsoft JhengHei" w:eastAsia="Microsoft JhengHei" w:cs="Microsoft JhengHei"/>
                <w:color w:val="23313B"/>
                <w:sz w:val="20"/>
              </w:rPr>
              <w:t>將本件合成案例整體替換為同一件真實事件的可核實記錄。取得不到的資料明確標示缺失及影響；不可沿用示例日期、數字、角色、根因、結果或決定。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  <w:cantSplit/>
        </w:trPr>
        <w:tc>
          <w:tcPr>
            <w:tcW w:type="dxa" w:w="1872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需替換項目</w:t>
            </w:r>
          </w:p>
        </w:tc>
        <w:tc>
          <w:tcPr>
            <w:tcW w:type="dxa" w:w="4104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REAL資料與原始依據</w:t>
            </w:r>
          </w:p>
        </w:tc>
        <w:tc>
          <w:tcPr>
            <w:tcW w:type="dxa" w:w="4104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核對與留存方式</w:t>
            </w:r>
          </w:p>
        </w:tc>
      </w:tr>
      <w:tr>
        <w:trPr>
          <w:cantSplit/>
        </w:trPr>
        <w:tc>
          <w:tcPr>
            <w:tcW w:type="dxa" w:w="187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事件與通報</w:t>
            </w:r>
          </w:p>
        </w:tc>
        <w:tc>
          <w:tcPr>
            <w:tcW w:type="dxa" w:w="410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實際事件日期、流程節點、發現人／責任角色、範圍、通報原文。</w:t>
            </w:r>
          </w:p>
        </w:tc>
        <w:tc>
          <w:tcPr>
            <w:tcW w:type="dxa" w:w="410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記原始檔名或系統記錄識別、版本、取得位置及日期；保留原件。</w:t>
            </w:r>
          </w:p>
        </w:tc>
      </w:tr>
      <w:tr>
        <w:trPr>
          <w:cantSplit/>
        </w:trPr>
        <w:tc>
          <w:tcPr>
            <w:tcW w:type="dxa" w:w="187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問題與分析</w:t>
            </w:r>
          </w:p>
        </w:tc>
        <w:tc>
          <w:tcPr>
            <w:tcW w:type="dxa" w:w="410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逐項應有／實際數據、差異、原因分類及每層分析證據。</w:t>
            </w:r>
          </w:p>
        </w:tc>
        <w:tc>
          <w:tcPr>
            <w:tcW w:type="dxa" w:w="410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能回到原件、系統軌跡或可重做的清點；未知值保持未知。</w:t>
            </w:r>
          </w:p>
        </w:tc>
      </w:tr>
      <w:tr>
        <w:trPr>
          <w:cantSplit/>
        </w:trPr>
        <w:tc>
          <w:tcPr>
            <w:tcW w:type="dxa" w:w="187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風險與措施</w:t>
            </w:r>
          </w:p>
        </w:tc>
        <w:tc>
          <w:tcPr>
            <w:tcW w:type="dxa" w:w="410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實際等級、權責依據、措施負責人、期限、資源及驗收標準。</w:t>
            </w:r>
          </w:p>
        </w:tc>
        <w:tc>
          <w:tcPr>
            <w:tcW w:type="dxa" w:w="410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記核定角色及依據；逾期、變更和重開保留歷程。</w:t>
            </w:r>
          </w:p>
        </w:tc>
      </w:tr>
      <w:tr>
        <w:trPr>
          <w:cantSplit/>
        </w:trPr>
        <w:tc>
          <w:tcPr>
            <w:tcW w:type="dxa" w:w="187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完成與有效性</w:t>
            </w:r>
          </w:p>
        </w:tc>
        <w:tc>
          <w:tcPr>
            <w:tcW w:type="dxa" w:w="410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原始完成證據、覆驗母體、抽樣單位、期間、分子／分母、計算和限制。</w:t>
            </w:r>
          </w:p>
        </w:tc>
        <w:tc>
          <w:tcPr>
            <w:tcW w:type="dxa" w:w="410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由覆核者可重算；不得以合成樣本或本文件示例代替。</w:t>
            </w:r>
          </w:p>
        </w:tc>
      </w:tr>
      <w:tr>
        <w:trPr>
          <w:cantSplit/>
        </w:trPr>
        <w:tc>
          <w:tcPr>
            <w:tcW w:type="dxa" w:w="187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結案與核准</w:t>
            </w:r>
          </w:p>
        </w:tc>
        <w:tc>
          <w:tcPr>
            <w:tcW w:type="dxa" w:w="410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具權責決策者、真實決定日期、理由及必要核准／簽章原件。</w:t>
            </w:r>
          </w:p>
        </w:tc>
        <w:tc>
          <w:tcPr>
            <w:tcW w:type="dxa" w:w="410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只記錄合法取得的原件定位；本紀錄不代簽、不仿製、不補作外部文件。</w:t>
            </w:r>
          </w:p>
        </w:tc>
      </w:tr>
    </w:tbl>
    <w:p>
      <w:pPr>
        <w:spacing w:after="20" w:before="0" w:line="240" w:lineRule="auto"/>
      </w:pPr>
      <w:r>
        <w:rPr>
          <w:rFonts w:ascii="Microsoft JhengHei" w:hAnsi="Microsoft JhengHei" w:eastAsia="Microsoft JhengHei" w:cs="Microsoft JhengHei"/>
          <w:color w:val="23313B"/>
          <w:sz w:val="22"/>
        </w:rPr>
      </w:r>
    </w:p>
    <w:p>
      <w:pPr>
        <w:pStyle w:val="Heading2"/>
        <w:keepNext/>
        <w:spacing w:before="120" w:after="80"/>
      </w:pPr>
      <w:r>
        <w:rPr>
          <w:rFonts w:ascii="Microsoft JhengHei" w:hAnsi="Microsoft JhengHei" w:eastAsia="Microsoft JhengHei" w:cs="Microsoft JhengHei"/>
          <w:b/>
          <w:color w:val="234C6A"/>
          <w:sz w:val="24"/>
        </w:rPr>
        <w:t>證據及版本索引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  <w:cantSplit/>
        </w:trPr>
        <w:tc>
          <w:tcPr>
            <w:tcW w:type="dxa" w:w="1800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索引項目</w:t>
            </w:r>
          </w:p>
        </w:tc>
        <w:tc>
          <w:tcPr>
            <w:tcW w:type="dxa" w:w="4536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來源／位置</w:t>
            </w:r>
          </w:p>
        </w:tc>
        <w:tc>
          <w:tcPr>
            <w:tcW w:type="dxa" w:w="3744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狀態與用途</w:t>
            </w:r>
          </w:p>
        </w:tc>
      </w:tr>
      <w:tr>
        <w:trPr>
          <w:cantSplit/>
        </w:trPr>
        <w:tc>
          <w:tcPr>
            <w:tcW w:type="dxa" w:w="180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官方要求</w:t>
            </w:r>
          </w:p>
        </w:tc>
        <w:tc>
          <w:tcPr>
            <w:tcW w:type="dxa" w:w="453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TTQS查核佐證文件資料表（訓練機構版），第5頁，指標16。</w:t>
            </w:r>
          </w:p>
        </w:tc>
        <w:tc>
          <w:tcPr>
            <w:tcW w:type="dxa" w:w="374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官方來源；核對異常處理方法、紀錄與工具的要求。</w:t>
            </w:r>
          </w:p>
        </w:tc>
      </w:tr>
      <w:tr>
        <w:trPr>
          <w:cantSplit/>
        </w:trPr>
        <w:tc>
          <w:tcPr>
            <w:tcW w:type="dxa" w:w="180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案例數據摘要</w:t>
            </w:r>
          </w:p>
        </w:tc>
        <w:tc>
          <w:tcPr>
            <w:tcW w:type="dxa" w:w="453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本件第四節「完整示範閉環案例」之案件卡片與措施表。</w:t>
            </w:r>
          </w:p>
        </w:tc>
        <w:tc>
          <w:tcPr>
            <w:tcW w:type="dxa" w:w="374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合成示例；不是外部原件或機構實績。</w:t>
            </w:r>
          </w:p>
        </w:tc>
      </w:tr>
      <w:tr>
        <w:trPr>
          <w:cantSplit/>
        </w:trPr>
        <w:tc>
          <w:tcPr>
            <w:tcW w:type="dxa" w:w="180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完成／覆驗結果</w:t>
            </w:r>
          </w:p>
        </w:tc>
        <w:tc>
          <w:tcPr>
            <w:tcW w:type="dxa" w:w="453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本件第四節「有效性計算及結案決定」表。</w:t>
            </w:r>
          </w:p>
        </w:tc>
        <w:tc>
          <w:tcPr>
            <w:tcW w:type="dxa" w:w="374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合成示例；分子、分母與計算均在本件列明。</w:t>
            </w:r>
          </w:p>
        </w:tc>
      </w:tr>
      <w:tr>
        <w:trPr>
          <w:cantSplit/>
        </w:trPr>
        <w:tc>
          <w:tcPr>
            <w:tcW w:type="dxa" w:w="180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本文件修訂</w:t>
            </w:r>
          </w:p>
        </w:tc>
        <w:tc>
          <w:tcPr>
            <w:tcW w:type="dxa" w:w="453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本次建立的單件紀錄工具；實際建立／修改時間存於文件核心屬性。</w:t>
            </w:r>
          </w:p>
        </w:tc>
        <w:tc>
          <w:tcPr>
            <w:tcW w:type="dxa" w:w="374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實案使用時，依機構文件管制方式登記版次、核准者及生效日。</w:t>
            </w:r>
          </w:p>
        </w:tc>
      </w:tr>
    </w:tbl>
    <w:p>
      <w:pPr>
        <w:spacing w:after="20" w:before="0" w:line="240" w:lineRule="auto"/>
      </w:pPr>
      <w:r>
        <w:rPr>
          <w:rFonts w:ascii="Microsoft JhengHei" w:hAnsi="Microsoft JhengHei" w:eastAsia="Microsoft JhengHei" w:cs="Microsoft JhengHei"/>
          <w:color w:val="23313B"/>
          <w:sz w:val="22"/>
        </w:rPr>
      </w:r>
    </w:p>
    <w:p>
      <w:pPr>
        <w:widowControl/>
        <w:spacing w:after="100" w:before="0" w:line="269" w:lineRule="auto"/>
      </w:pPr>
      <w:r>
        <w:rPr>
          <w:rFonts w:ascii="Microsoft JhengHei" w:hAnsi="Microsoft JhengHei" w:eastAsia="Microsoft JhengHei" w:cs="Microsoft JhengHei"/>
          <w:i w:val="0"/>
          <w:color w:val="566671"/>
          <w:sz w:val="22"/>
        </w:rPr>
        <w:t>本案例的證據定位是本文件內的合成摘要，未宣稱存在外部附件或第三方原件。實案需另附可驗證來源並記錄實際位置。</w:t>
      </w:r>
    </w:p>
    <w:sectPr w:rsidR="00FC693F" w:rsidRPr="0006063C" w:rsidSect="00034616">
      <w:pgSz w:w="11906" w:h="16838"/>
      <w:pgMar w:top="794" w:right="907" w:bottom="794" w:left="90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 w:cs="Microsoft JhengHei"/>
      <w:color w:val="2331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234C6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234C6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234C6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color w:val="234C6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>
  </ns0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異常通報暨CAPA矯正預防紀錄</dc:title>
  <dc:subject>訓練異常通報、矯正預防措施與有效性追蹤</dc:subject>
  <dc:creator/>
  <cp:keywords/>
  <dc:description/>
  <cp:lastModifiedBy/>
  <cp:revision>1</cp:revision>
  <dcterms:created xsi:type="dcterms:W3CDTF">2026-10-02T22:56:53Z</dcterms:created>
  <dcterms:modified xsi:type="dcterms:W3CDTF">2026-10-03T06:06:58Z</dcterms:modified>
  <cp:category/>
</cp:coreProperties>
</file>