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依課程目標審查學員資格與排序，並完成教材推薦及委員會審議後才可使用教材。</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本程序供課程承辦人、資格審查人員、講師、顧問、訓練管理委員會及教學行政人員使用。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於課程開始前規劃招生、審查報名資料及選定教材時使用。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作業前先備妥各步驟列出的輸入資料；依表檢核資格與評分，再完成教材審議、決議及核定流程。</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形成可追溯的學員排序、備取遞補、教材對照、審議決議及教材使用紀錄。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w:t>
      </w:r>
    </w:p>
    <w:p>
      <w:pPr>
        <w:pStyle w:val="Heading2"/>
      </w:pPr>
      <w:r>
        <w:t>二、角色分工</w:t>
      </w:r>
    </w:p>
    <w:p>
      <w:pPr>
        <w:spacing w:after="80"/>
      </w:pPr>
      <w:r>
        <w:rPr>
          <w:rFonts w:ascii="Microsoft JhengHei" w:hAnsi="Microsoft JhengHei" w:eastAsia="Microsoft JhengHei"/>
          <w:b w:val="0"/>
          <w:sz w:val="22"/>
        </w:rPr>
        <w:t>承辦人公告與整理資料；資格審查人員核對條件；評審人員依共同量尺評分；講師提出教材、顧問逐單元檢視；訓練管理委員會依正式議事規則審議；有權主管核定後，承辦人才能交付核准版本。</w:t>
      </w:r>
    </w:p>
    <w:p>
      <w:pPr>
        <w:spacing w:after="80"/>
      </w:pPr>
      <w:r>
        <w:rPr>
          <w:rFonts w:ascii="Microsoft JhengHei" w:hAnsi="Microsoft JhengHei" w:eastAsia="Microsoft JhengHei"/>
          <w:b w:val="0"/>
          <w:sz w:val="22"/>
        </w:rPr>
        <w:t>角色缺席時只由正式授權名冊或書面代理規則指定具權限且無利益衝突者代理；沒有適格代理就改期，不由承辦人代替評分或表決。</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報名者工作任務與課程目標的對應、可帶入的工作問題。</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只列一般興趣，未說明工作情境。</w:t>
            </w:r>
          </w:p>
        </w:tc>
        <w:tc>
          <w:tcPr>
            <w:tcW w:type="dxa" w:w="1668"/>
            <w:vAlign w:val="center"/>
          </w:tcPr>
          <w:p>
            <w:pPr>
              <w:spacing w:after="40"/>
            </w:pPr>
            <w:r/>
            <w:r>
              <w:rPr>
                <w:rFonts w:ascii="Microsoft JhengHei" w:hAnsi="Microsoft JhengHei" w:eastAsia="Microsoft JhengHei"/>
                <w:b w:val="0"/>
                <w:sz w:val="20"/>
              </w:rPr>
              <w:t>能指出1項工作任務及預期應用。</w:t>
            </w:r>
          </w:p>
        </w:tc>
        <w:tc>
          <w:tcPr>
            <w:tcW w:type="dxa" w:w="1668"/>
            <w:vAlign w:val="center"/>
          </w:tcPr>
          <w:p>
            <w:pPr>
              <w:spacing w:after="40"/>
            </w:pPr>
            <w:r/>
            <w:r>
              <w:rPr>
                <w:rFonts w:ascii="Microsoft JhengHei" w:hAnsi="Microsoft JhengHei" w:eastAsia="Microsoft JhengHei"/>
                <w:b w:val="0"/>
                <w:sz w:val="20"/>
              </w:rPr>
              <w:t>任務、落差與應用計畫均具體且互相對應。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主管支持／30%</w:t>
            </w:r>
          </w:p>
        </w:tc>
        <w:tc>
          <w:tcPr>
            <w:tcW w:type="dxa" w:w="1668"/>
            <w:vAlign w:val="center"/>
          </w:tcPr>
          <w:p>
            <w:pPr>
              <w:spacing w:after="40"/>
            </w:pPr>
            <w:r/>
            <w:r>
              <w:rPr>
                <w:rFonts w:ascii="Microsoft JhengHei" w:hAnsi="Microsoft JhengHei" w:eastAsia="Microsoft JhengHei"/>
                <w:b w:val="0"/>
                <w:sz w:val="20"/>
              </w:rPr>
              <w:t>可參訓時間、工作安排及課後應用支持。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僅有口頭意向，無工作安排。</w:t>
            </w:r>
          </w:p>
        </w:tc>
        <w:tc>
          <w:tcPr>
            <w:tcW w:type="dxa" w:w="1668"/>
            <w:vAlign w:val="center"/>
          </w:tcPr>
          <w:p>
            <w:pPr>
              <w:spacing w:after="40"/>
            </w:pPr>
            <w:r/>
            <w:r>
              <w:rPr>
                <w:rFonts w:ascii="Microsoft JhengHei" w:hAnsi="Microsoft JhengHei" w:eastAsia="Microsoft JhengHei"/>
                <w:b w:val="0"/>
                <w:sz w:val="20"/>
              </w:rPr>
              <w:t>示範支持資料說明時間及應用任務。</w:t>
            </w:r>
          </w:p>
        </w:tc>
        <w:tc>
          <w:tcPr>
            <w:tcW w:type="dxa" w:w="1668"/>
            <w:vAlign w:val="center"/>
          </w:tcPr>
          <w:p>
            <w:pPr>
              <w:spacing w:after="40"/>
            </w:pPr>
            <w:r/>
            <w:r>
              <w:rPr>
                <w:rFonts w:ascii="Microsoft JhengHei" w:hAnsi="Microsoft JhengHei" w:eastAsia="Microsoft JhengHei"/>
                <w:b w:val="0"/>
                <w:sz w:val="20"/>
              </w:rPr>
              <w:t>工作時間、資源及應用追蹤均具體。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製程工程角色；提出稼動率資料整理及異常趨勢判讀作業。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36.8；工作情境與課程目標直接對應。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說明想改善資料判讀能力，並提出完成後製作一頁改善建議。</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28.5；目標與具體成果一致。</w:t>
            </w:r>
          </w:p>
        </w:tc>
      </w:tr>
      <w:tr>
        <w:tc>
          <w:tcPr>
            <w:tcW w:type="dxa" w:w="2002"/>
            <w:vAlign w:val="center"/>
          </w:tcPr>
          <w:p>
            <w:pPr>
              <w:spacing w:after="40"/>
            </w:pPr>
            <w:r/>
            <w:r>
              <w:rPr>
                <w:rFonts w:ascii="Microsoft JhengHei" w:hAnsi="Microsoft JhengHei" w:eastAsia="Microsoft JhengHei"/>
                <w:b w:val="0"/>
                <w:sz w:val="20"/>
              </w:rPr>
              <w:t>主管支持</w:t>
            </w:r>
          </w:p>
        </w:tc>
        <w:tc>
          <w:tcPr>
            <w:tcW w:type="dxa" w:w="2002"/>
            <w:vAlign w:val="center"/>
          </w:tcPr>
          <w:p>
            <w:pPr>
              <w:spacing w:after="40"/>
            </w:pPr>
            <w:r/>
            <w:r>
              <w:rPr>
                <w:rFonts w:ascii="Microsoft JhengHei" w:hAnsi="Microsoft JhengHei" w:eastAsia="Microsoft JhengHei"/>
                <w:b w:val="0"/>
                <w:sz w:val="20"/>
              </w:rPr>
              <w:t>示範支持資料列出參訓時段及課後試作任務。</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智慧製造資料分析實務班；示範收件2026-10-01至10-15；開課2026-11-15；名額20人。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收件32件；28件符合示範條件；4件不符合：2件職務不符、1件逾3工作日補件期限仍缺經歷證明、1件逾截止時間。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智慧製造資料分析練習頁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w:t>
            </w:r>
          </w:p>
        </w:tc>
      </w:tr>
      <w:tr>
        <w:tc>
          <w:tcPr>
            <w:tcW w:type="dxa" w:w="2002"/>
            <w:vAlign w:val="center"/>
          </w:tcPr>
          <w:p>
            <w:pPr>
              <w:spacing w:after="40"/>
            </w:pPr>
            <w:r/>
            <w:r>
              <w:rPr>
                <w:rFonts w:ascii="Microsoft JhengHei" w:hAnsi="Microsoft JhengHei" w:eastAsia="Microsoft JhengHei"/>
                <w:b w:val="0"/>
                <w:sz w:val="20"/>
              </w:rPr>
              <w:t>單元一：資料整理</w:t>
            </w:r>
          </w:p>
        </w:tc>
        <w:tc>
          <w:tcPr>
            <w:tcW w:type="dxa" w:w="2002"/>
            <w:vAlign w:val="center"/>
          </w:tcPr>
          <w:p>
            <w:pPr>
              <w:spacing w:after="40"/>
            </w:pPr>
            <w:r/>
            <w:r>
              <w:rPr>
                <w:rFonts w:ascii="Microsoft JhengHei" w:hAnsi="Microsoft JhengHei" w:eastAsia="Microsoft JhengHei"/>
                <w:b w:val="0"/>
                <w:sz w:val="20"/>
              </w:rPr>
              <w:t>同一套 v0.1；設備紀錄欄位辨識與清理練習。</w:t>
            </w:r>
          </w:p>
        </w:tc>
        <w:tc>
          <w:tcPr>
            <w:tcW w:type="dxa" w:w="2002"/>
            <w:vAlign w:val="center"/>
          </w:tcPr>
          <w:p>
            <w:pPr>
              <w:spacing w:after="40"/>
            </w:pPr>
            <w:r/>
            <w:r>
              <w:rPr>
                <w:rFonts w:ascii="Microsoft JhengHei" w:hAnsi="Microsoft JhengHei" w:eastAsia="Microsoft JhengHei"/>
                <w:b w:val="0"/>
                <w:sz w:val="20"/>
              </w:rPr>
              <w:t>對應資料整理目標，以虛構數據練習。</w:t>
            </w:r>
          </w:p>
        </w:tc>
        <w:tc>
          <w:tcPr>
            <w:tcW w:type="dxa" w:w="2002"/>
            <w:vAlign w:val="center"/>
          </w:tcPr>
          <w:p>
            <w:pPr>
              <w:spacing w:after="40"/>
            </w:pPr>
            <w:r/>
            <w:r>
              <w:rPr>
                <w:rFonts w:ascii="Microsoft JhengHei" w:hAnsi="Microsoft JhengHei" w:eastAsia="Microsoft JhengHei"/>
                <w:b w:val="0"/>
                <w:sz w:val="20"/>
              </w:rPr>
              <w:t>顧問核對欄位定義與目標一致。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單元二：製程分析</w:t>
            </w:r>
          </w:p>
        </w:tc>
        <w:tc>
          <w:tcPr>
            <w:tcW w:type="dxa" w:w="2002"/>
            <w:vAlign w:val="center"/>
          </w:tcPr>
          <w:p>
            <w:pPr>
              <w:spacing w:after="40"/>
            </w:pPr>
            <w:r/>
            <w:r>
              <w:rPr>
                <w:rFonts w:ascii="Microsoft JhengHei" w:hAnsi="Microsoft JhengHei" w:eastAsia="Microsoft JhengHei"/>
                <w:b w:val="0"/>
                <w:sz w:val="20"/>
              </w:rPr>
              <w:t>同一套 v0.1；趨勢圖與異常原因辨識練習。</w:t>
            </w:r>
          </w:p>
        </w:tc>
        <w:tc>
          <w:tcPr>
            <w:tcW w:type="dxa" w:w="2002"/>
            <w:vAlign w:val="center"/>
          </w:tcPr>
          <w:p>
            <w:pPr>
              <w:spacing w:after="40"/>
            </w:pPr>
            <w:r/>
            <w:r>
              <w:rPr>
                <w:rFonts w:ascii="Microsoft JhengHei" w:hAnsi="Microsoft JhengHei" w:eastAsia="Microsoft JhengHei"/>
                <w:b w:val="0"/>
                <w:sz w:val="20"/>
              </w:rPr>
              <w:t>對應製程分析目標，以虛構趨勢資料練習。</w:t>
            </w:r>
          </w:p>
        </w:tc>
        <w:tc>
          <w:tcPr>
            <w:tcW w:type="dxa" w:w="2002"/>
            <w:vAlign w:val="center"/>
          </w:tcPr>
          <w:p>
            <w:pPr>
              <w:spacing w:after="40"/>
            </w:pPr>
            <w:r/>
            <w:r>
              <w:rPr>
                <w:rFonts w:ascii="Microsoft JhengHei" w:hAnsi="Microsoft JhengHei" w:eastAsia="Microsoft JhengHei"/>
                <w:b w:val="0"/>
                <w:sz w:val="20"/>
              </w:rPr>
              <w:t>講師標出資料變化點；顧問核對案例與判斷依據。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單元三：改善回報</w:t>
            </w:r>
          </w:p>
        </w:tc>
        <w:tc>
          <w:tcPr>
            <w:tcW w:type="dxa" w:w="2002"/>
            <w:vAlign w:val="center"/>
          </w:tcPr>
          <w:p>
            <w:pPr>
              <w:spacing w:after="40"/>
            </w:pPr>
            <w:r/>
            <w:r>
              <w:rPr>
                <w:rFonts w:ascii="Microsoft JhengHei" w:hAnsi="Microsoft JhengHei" w:eastAsia="Microsoft JhengHei"/>
                <w:b w:val="0"/>
                <w:sz w:val="20"/>
              </w:rPr>
              <w:t>同一套 v0.1；一頁式改善提案與追蹤欄位。</w:t>
            </w:r>
          </w:p>
        </w:tc>
        <w:tc>
          <w:tcPr>
            <w:tcW w:type="dxa" w:w="2002"/>
            <w:vAlign w:val="center"/>
          </w:tcPr>
          <w:p>
            <w:pPr>
              <w:spacing w:after="40"/>
            </w:pPr>
            <w:r/>
            <w:r>
              <w:rPr>
                <w:rFonts w:ascii="Microsoft JhengHei" w:hAnsi="Microsoft JhengHei" w:eastAsia="Microsoft JhengHei"/>
                <w:b w:val="0"/>
                <w:sz w:val="20"/>
              </w:rPr>
              <w:t>對應改善回報目標；不收集真實個資。</w:t>
            </w:r>
          </w:p>
        </w:tc>
        <w:tc>
          <w:tcPr>
            <w:tcW w:type="dxa" w:w="2002"/>
            <w:vAlign w:val="center"/>
          </w:tcPr>
          <w:p>
            <w:pPr>
              <w:spacing w:after="40"/>
            </w:pPr>
            <w:r/>
            <w:r>
              <w:rPr>
                <w:rFonts w:ascii="Microsoft JhengHei" w:hAnsi="Microsoft JhengHei" w:eastAsia="Microsoft JhengHei"/>
                <w:b w:val="0"/>
                <w:sz w:val="20"/>
              </w:rPr>
              <w:t>顧問核對目標、證據、行動與追蹤欄相連。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w:t>
            </w:r>
          </w:p>
        </w:tc>
        <w:tc>
          <w:tcPr>
            <w:tcW w:type="dxa" w:w="2002"/>
            <w:vAlign w:val="center"/>
          </w:tcPr>
          <w:p>
            <w:pPr>
              <w:spacing w:after="40"/>
            </w:pPr>
            <w:r/>
            <w:r>
              <w:rPr>
                <w:rFonts w:ascii="Microsoft JhengHei" w:hAnsi="Microsoft JhengHei" w:eastAsia="Microsoft JhengHei"/>
                <w:b w:val="0"/>
                <w:sz w:val="20"/>
              </w:rPr>
              <w:t>練習頁v0.1、來源權利說明、三單元對照、會議議程/意見/決議/責任期限。</w:t>
            </w:r>
          </w:p>
        </w:tc>
        <w:tc>
          <w:tcPr>
            <w:tcW w:type="dxa" w:w="2002"/>
            <w:vAlign w:val="center"/>
          </w:tcPr>
          <w:p>
            <w:pPr>
              <w:spacing w:after="40"/>
            </w:pPr>
            <w:r/>
            <w:r>
              <w:rPr>
                <w:rFonts w:ascii="Microsoft JhengHei" w:hAnsi="Microsoft JhengHei" w:eastAsia="Microsoft JhengHei"/>
                <w:b w:val="0"/>
                <w:sz w:val="20"/>
              </w:rPr>
              <w:t>講師、顧問、承辦人</w:t>
            </w:r>
          </w:p>
        </w:tc>
        <w:tc>
          <w:tcPr>
            <w:tcW w:type="dxa" w:w="2002"/>
            <w:vAlign w:val="center"/>
          </w:tcPr>
          <w:p>
            <w:pPr>
              <w:spacing w:after="40"/>
            </w:pPr>
            <w:r/>
            <w:r>
              <w:rPr>
                <w:rFonts w:ascii="Microsoft JhengHei" w:hAnsi="Microsoft JhengHei" w:eastAsia="Microsoft JhengHei"/>
                <w:b w:val="0"/>
                <w:sz w:val="20"/>
              </w:rPr>
              <w:t>訓練管理委員會</w:t>
            </w:r>
          </w:p>
        </w:tc>
        <w:tc>
          <w:tcPr>
            <w:tcW w:type="dxa" w:w="2002"/>
            <w:vAlign w:val="center"/>
          </w:tcPr>
          <w:p>
            <w:pPr>
              <w:spacing w:after="40"/>
            </w:pPr>
            <w:r/>
            <w:r>
              <w:rPr>
                <w:rFonts w:ascii="Microsoft JhengHei" w:hAnsi="Microsoft JhengHei" w:eastAsia="Microsoft JhengHei"/>
                <w:b w:val="0"/>
                <w:sz w:val="20"/>
              </w:rPr>
              <w:t>只發放決議涵蓋的確切版本。</w:t>
            </w:r>
          </w:p>
        </w:tc>
      </w:tr>
      <w:tr>
        <w:tc>
          <w:tcPr>
            <w:tcW w:type="dxa" w:w="2002"/>
            <w:vAlign w:val="center"/>
          </w:tcPr>
          <w:p>
            <w:pPr>
              <w:spacing w:after="40"/>
            </w:pPr>
            <w:r/>
            <w:r>
              <w:rPr>
                <w:rFonts w:ascii="Microsoft JhengHei" w:hAnsi="Microsoft JhengHei" w:eastAsia="Microsoft JhengHei"/>
                <w:b w:val="0"/>
                <w:sz w:val="20"/>
              </w:rPr>
              <w:t>主管核定與保存</w:t>
            </w:r>
          </w:p>
        </w:tc>
        <w:tc>
          <w:tcPr>
            <w:tcW w:type="dxa" w:w="2002"/>
            <w:vAlign w:val="center"/>
          </w:tcPr>
          <w:p>
            <w:pPr>
              <w:spacing w:after="4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有權主管</w:t>
            </w:r>
          </w:p>
        </w:tc>
        <w:tc>
          <w:tcPr>
            <w:tcW w:type="dxa" w:w="2002"/>
            <w:vAlign w:val="center"/>
          </w:tcPr>
          <w:p>
            <w:pPr>
              <w:spacing w:after="40"/>
            </w:pPr>
            <w:r/>
            <w:r>
              <w:rPr>
                <w:rFonts w:ascii="Microsoft JhengHei" w:hAnsi="Microsoft JhengHei" w:eastAsia="Microsoft JhengHei"/>
                <w:b w:val="0"/>
                <w:sz w:val="20"/>
              </w:rPr>
              <w:t>示範不等於真實簽認；不補造日期或簽名。</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演練條件為相關製造/品質/製程職務、至少1年相關經驗證明、完整申請及主管支持安排。</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申請表、工作任務說明、經驗證明及支持安排。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符合資格清單、課程相關性40%、學習動機30%、主管支持30%量尺。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權利不明即停止印製/分享，改用權利清楚的內容再檢視。</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示範假設決議：同意練習頁v0.1只供本示範班使用；任何改版或權利來源改變均須重新檢視。這不是本會真實會議或核准。</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4697</Words>
  <Characters>5499</Characters>
  <Application>Microsoft Macintosh Word</Application>
  <DocSecurity>0</DocSecurity>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