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TTQS｜I06-E03｜佐證編號 031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訓練機構執行訓練業務的職能配置與查證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這份文件要說明：機構有哪些角色、每個角色會做什麼，以及能力如何互相支援。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一、機構職能全貌｜四個角色接得起完整辦訓</w:t>
      </w:r>
    </w:p>
    <w:p>
      <w:pPr>
        <w:pStyle w:val="ListBullet"/>
        <w:spacing w:after="40"/>
        <w:ind w:left="346" w:hanging="173"/>
      </w:pPr>
      <w:r>
        <w:rPr>
          <w:sz w:val="21"/>
        </w:rPr>
        <w:t>樣例培訓單位 示範機構（虛構）以四個虛構角色分工；每個角色有明確責任，遇到評量或紀錄工作也能找到支援者。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分數尺 1–4：1 初識、2 需協助、3 可獨立、4 可帶人。每項要求至少 3 分，總分至少 15/20 是樣例內規。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3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虛構角色</w:t>
            </w:r>
          </w:p>
        </w:tc>
        <w:tc>
          <w:tcPr>
            <w:tcW w:type="dxa" w:w="188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主要工作</w:t>
            </w:r>
          </w:p>
        </w:tc>
        <w:tc>
          <w:tcPr>
            <w:tcW w:type="dxa" w:w="461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能力分數（需求／設計／執行／評量／紀錄）</w:t>
            </w:r>
          </w:p>
        </w:tc>
        <w:tc>
          <w:tcPr>
            <w:tcW w:type="dxa" w:w="202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總分／樣例判定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訓練主管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4/4/3/3/4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18/20；通過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3/4/3/3/3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16/20；通過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專業講師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4/3/3/3/3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16/20；通過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訓練行政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3/3/3/3/4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16/20；通過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二、雷達圖｜同一位講師補強前後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藍線＝補強前；橘色虛線＝每項最低要求 3 分；綠線＝複評後。綠線每一面都到達或超過橘線，代表樣例職能達標。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14116"/>
            <wp:docPr id="1" name="Picture 1" descr="0032 職能落差雷達圖：專業講師補強前、最低目標3分、補強後五項能力比較。" title="0032 職能落差雷達圖（SAMPLE / SYNTHETIC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COMPETENCY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141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圖上英文字</w:t>
            </w:r>
          </w:p>
        </w:tc>
        <w:tc>
          <w:tcPr>
            <w:tcW w:type="dxa" w:w="331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中文能力面向</w:t>
            </w:r>
          </w:p>
        </w:tc>
        <w:tc>
          <w:tcPr>
            <w:tcW w:type="dxa" w:w="14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補強前</w:t>
            </w:r>
          </w:p>
        </w:tc>
        <w:tc>
          <w:tcPr>
            <w:tcW w:type="dxa" w:w="14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複評後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Demand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需求分析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Design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Delivery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課程執行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Evaluation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學習評量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Records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紀錄管理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</w:tbl>
    <w:p>
      <w:pPr>
        <w:spacing w:after="0" w:before="0"/>
      </w:pPr>
    </w:p>
    <w:p>
      <w:r>
        <w:rPr>
          <w:sz w:val="21"/>
        </w:rPr>
        <w:t>落差等級：示範講師A 補強前的「學習評量、紀錄管理」各為 2 分，比最低要求 3 分低 1 級；其餘三項已達最低要求。複評後五項都達 3 分以上。</w:t>
      </w:r>
    </w:p>
    <w:p>
      <w:pPr>
        <w:pStyle w:val="Heading1"/>
      </w:pPr>
      <w:r>
        <w:rPr>
          <w:sz w:val="21"/>
        </w:rPr>
        <w:t>三、如何查證，不只看職稱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4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查證步驟</w:t>
            </w:r>
          </w:p>
        </w:tc>
        <w:tc>
          <w:tcPr>
            <w:tcW w:type="dxa" w:w="432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樣例證據</w:t>
            </w:r>
          </w:p>
        </w:tc>
        <w:tc>
          <w:tcPr>
            <w:tcW w:type="dxa" w:w="41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檢查者要問的問題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看責任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示範附件3201：角色責任表；示範附件3202：主管核定分工。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每項工作是否有明確負責與支援角色？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看能力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示範附件3203：四角色 5 面向能力表；示範附件3204：講師複評表。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分數是否能回到觀察、作品或測驗？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看運用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示範附件3205：課程設計流程；示範附件3206：課後評估彙整。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組織是否把能力用在真實工作並檢討？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適用情境：職能標準/落差/發展｜訓練機構具備執行訓練業務相關職能的說明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本份直接回應：訓練機構具備執行訓練業務相關職能的說明。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圖上每一軸的英文標籤對照本文下方的中文能力名稱；目標線為樣例內規 3/4，並非 TTQS 官方分數。</w:t>
      </w:r>
    </w:p>
    <w:p>
      <w:pPr>
        <w:pStyle w:val="Heading1"/>
      </w:pPr>
      <w:r>
        <w:rPr>
          <w:sz w:val="21"/>
        </w:rPr>
        <w:t>角色 × 職能查證｜逐格列出標準、現況與落差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65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角色／職能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97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893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現況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309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發展或維持動作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示範訓練主管｜訓練主管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示範訓練主管｜訓練主管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示範訓練主管｜訓練主管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示範訓練主管｜訓練主管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示範訓練主管｜訓練主管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示範課程設計人員｜課程設計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示範課程設計人員｜課程設計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示範課程設計人員｜課程設計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示範課程設計人員｜課程設計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示範課程設計人員｜課程設計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示範講師A｜專業講師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示範講師A｜專業講師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示範講師A｜專業講師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示範講師A｜專業講師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示範講師A｜專業講師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示範行政人員｜訓練行政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示範行政人員｜訓練行政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示範行政人員｜訓練行政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示範行政人員｜訓練行政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示範行政人員｜訓練行政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公式：職能落差＝目標等級－現況等級；達標率＝達標職能數÷評估職能數。樣例達標率：20/20 個「角色×職能」欄位＝100.0%。負差距代表高於標準。雷達圖另呈現 示範講師A 補強前後，兩項各差1級並於複評補齊。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I06-E03｜訓練機構具備執行訓練業務相關職能的說明。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訓練機構四角色職能配置及查證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分工表、五面向評量表、講師複評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20/20角色×能力欄位達3分；歷史兩項落差已複評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示範附件3201–3206／第一至三節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實際組織角色與分工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核定組織圖、職務說明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各角色能力與授權證據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履歷、訓練、工作成果及授權紀錄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雷達圖的真實分數及日期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原始評量表與複核紀錄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031：訓練機構具備執行訓練業務相關職能的說明。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訓練機構具備執行訓練業務相關職能的說明_完整工作稿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