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學員訓後薪資與獎勵升遷第三方驗證表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以本人同意及雇主或正式紀錄核對學員訓後薪資調整、獎勵或升遷，不以口述推定。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使用代碼收集前後任職與績效資料；將第三方證明、本人確認及授權分開核驗。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先看前後比較期間、變動種類、第三方原件及個資授權狀態。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目前未取得本會學員薪資、獎勵、升遷或雇主確認原件；不含個人或薪資實績。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對應查核項目：個人績效提升（薪資提升或獎勵升遷之紀錄）。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一、個案與期間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學員代碼及班次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[待補：不在工作表登載完整身分證號或非必要個資]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訓練日期及追蹤期間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[待補：以結訓原始紀錄和一致比較時點為準]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訓前職務／薪資基準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[待補：期間、薪資構成、任職狀態及來源位置]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訓後變動項目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□薪資 □獎勵 □升遷 □未變動 □待確認；日期及範圍：[待補]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二、前後資料與第三方驗證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比較欄位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訓前基準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訓後資料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第三方原件／位置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職務／職級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薪資或獎勵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[待補／不適用需說明]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工作績效與日期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三、來源查驗與資料保護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第三方身分與證明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[待補：雇主／核發單位、職務、聯絡核驗方式及日期；未回覆另列]。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本人確認及同意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□待取得 □已取得；用途、保存期限、撤回方式及原件位置：[待補]。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資料最小化與權限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[待補：代碼對照表由何人保管；敏感薪資資料如何限權]。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訓練關聯及限制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[待補：其他升遷、年資、組織制度等因素；不以時間先後直接認定因果]。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第三方原件取得追蹤／範本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管道／窗口：[待填]；聯繫日：[待填]；回覆期限：[待填]；回覆／未取得處理：[待填]。範本：請提供經本人同意可供核對之任職、薪資或正式獎勵／升遷紀錄及可使用範圍；此為範本文字，實際聯繫須由授權人員確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四、結果與交叉核對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成果判定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□有可驗證提升 □未提升 □待核 □不適用；判定依據：[待補]。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對外揭露範圍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[待補：已取得的明確授權；不得揭露可識別薪資或雇主資訊]。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下次追蹤與覆核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[待補：責任角色、期限、原件存檔位置及結果覆核]。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薪資變化率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(追蹤期可比薪資−基準期可比薪資)÷基準期可比薪資×100%；僅納入本人同意且第三方來源可驗證的配對資料。基準薪資為0或口徑不可比時列絕對差額並說明，不計百分比。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原件取得率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已驗證原件數÷事前列定應取得原件數×100%；按表6逐件核對。分母為0時列不適用；結果[待計算]。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本人同意及訓前訓後任職／薪資資料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雇主證明、正式獎勵或升遷紀錄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學員訓後薪資與獎勵升遷第三方驗證表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