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年度訓練班次與參訓人次趨勢表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以逐年可查證的實際開班及出席資料，分開呈現訓練班次與參訓人次趨勢。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依年度核准課程及實際辦理紀錄清點，統一班次、人次、取消及跨年課程口徑。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先核對年度範圍、納入班次清單及人次來源，再查看年增幅與例外。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目前未取得本會可核驗的歷年開班清冊、簽到或結訓資料；趨勢待補。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對應查核項目：每年訓練班次、人次均持續成長。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一、年度統計範圍與口徑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年度與課程範圍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[待補：年度、課程類別、納入／排除規則]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[待補：一班的識別方式；取消、合併、重開如何處理]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參訓人次定義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[待補：以實際出席或報到為準；同人跨班可重複計次]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資料來源與覆核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[待補：課程計畫、簽到、結訓名冊及覆核方式]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二、年度底冊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課程／類別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實際班次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實際參訓人次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來源位置／覆核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三、年度趨勢及計算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班次年增率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人次年增率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比較年一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比較年二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四、差異解釋與決定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是否逐年增加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 □資料不足；逐年班次及人次分別判讀，不以單年高點代替持續成長。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差異原因與外部因素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[待補：課程開辦、場地、需求、資源或統計口徑變動]。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後續安排與風險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[待補：核定計畫、資源條件、負責角色及下一年度檢核]。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年度課程核准與實際開班紀錄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簽到、出席及結訓名冊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操作工具補充｜雙指標年度趨勢圖與持續成長判定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班次與參訓人次是兩項不同指標，須分別由原始清冊計算並判定。以下圖表僅留空白軸線，不含虛構年度或數值；實際數據到齊前不得連線或宣稱持續成長。</w:t>
      </w:r>
    </w:p>
    <w:p>
      <w:pPr>
        <w:pStyle w:val="Heading2"/>
        <w:keepNext/>
        <w:keepLines/>
      </w:pPr>
      <w:r>
        <w:t>1. 年度訓練班次趨勢圖（空白版）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clas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2. 年度參訓人次趨勢圖（空白版）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participant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3. 計算與連續成長判定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公式／判定規則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待填數據／證據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班次年增率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(本年度班次－前年度班次) ÷ 前年度班次 × 100%。前年度為0或缺值時不計百分比，改列絕對差額並說明。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[兩年度值／原始班次清冊／覆核]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參訓人次年增率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(本年度人次－前年度人次) ÷ 前年度人次 × 100%。前年度為0或缺值時不計百分比，改列絕對差額並說明。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[兩年度值／出席原始資料／覆核]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持續成長判定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按事前定義的連續年度區間，班次每一相鄰年度均增加且人次每一相鄰年度均增加，才可標示「持續成長」。任一項不符或年度缺值即不得如此判定。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[年度範圍／逐年值／統計口徑]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跨年與重複計次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班次以核定班次識別碼去重；參訓人次依實際出席計次，同一人跨不同班次可重複，取消／合併／跨年課程依核定口徑處理。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[納入／排除清單及理由]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結論限制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t>記錄需求、資源、停辦及口徑變動；不逕稱成長原因。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[分析與改善決定待填]</w:t>
            </w:r>
          </w:p>
        </w:tc>
      </w:tr>
    </w:tbl>
    <w:p>
      <w:pPr>
        <w:pStyle w:val="Heading2"/>
        <w:keepNext/>
        <w:keepLines/>
        <w:spacing w:before="40" w:after="0"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keepNext w:val="0"/>
        <w:pageBreakBefore w:val="0"/>
        <w:spacing w:after="0" w:before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  <w:keepLines/>
      </w:pPr>
      <w:r>
        <w:t>資料血緣、比較基準與結果可信度</w:t>
      </w:r>
    </w:p>
    <w:p>
      <w:pPr>
        <w:keepLines/>
        <w:spacing w:after="100"/>
      </w:pPr>
      <w:r>
        <w:t>每一年度班次與人次須可由原始底冊重算，並使用一致的納入、取消、合併與跨年口徑。未取得歷年清冊、簽到及核定課程來源前，不得宣稱持續成長。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年度／指標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來源原件與資料欄位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納入／排除及去重規則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核對人／日期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計算檔／結果位置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[年度；訓練班次]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[核定課程、班次ID及實際辦理紀錄]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[取消／合併／重開與跨年處理]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[年度；參訓人次]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[簽到／出席／結訓原件]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[出席定義、重複計次口徑]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可比性與外部因素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判讀／證據位置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班次趨勢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[連續年度與口徑]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[課程範圍、停辦、資源或口徑變動]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[待判；不以單年高點稱持續成長]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參訓人次趨勢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[連續年度與分母口徑]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[班次、出席及重複計次影響]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[待判；待來源與覆核]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交叉驗證／適用性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對照來源或文件ID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結果／差異處理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決定與下次驗證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訓練執行與出席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[I15結案、簽到、班次底冊；填實際文件ID]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[班次／人次逐年對帳]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訓後個案成果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不屬I19-E22的班次／人次核心指標；個案分析由相應個案文件承接。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不將個案資料重複計入年度人次；無相關資料時註明不適用。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[不適用理由／引用文件待填]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17／18／19資料一致性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[引用相應評量與成果文件ID；不複製個案事實]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[同期間、母體與定義核對；無法比對則說明]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證據來源型態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現有來源狀態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可支持的結論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限制／需補強資料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核定班次與實際出席原件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[目前來源狀態待確認]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[僅在底冊完成核對後填入]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[待補檔名、期間、覆核與授權]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彙整計算與圖表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[取得底冊後生成]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[列分子、分母與增幅]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[重算規則、版本與計算人]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外部或跨文件核對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[依實際可用資料]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[僅限核對範圍內]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[不得推定關聯或因果]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改善／擴散決定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觸發差距與依據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下一次檢核指標／來源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[待決；不得因目標預設擴張]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[依逐年實際資料判讀]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[下一期班次及人次底冊]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個案成果不屬於本件年度趨勢表的必要個案分析；如需說明個別就業或能力變化，引用其專屬紀錄並另行保護個資。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