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</w:pPr>
      <w:r>
        <w:rPr>
          <w:rFonts w:ascii="Microsoft JhengHei" w:hAnsi="Microsoft JhengHei" w:eastAsia="Microsoft JhengHei"/>
          <w:b/>
          <w:color w:val="183B63"/>
          <w:sz w:val="36"/>
        </w:rPr>
        <w:t>訓練資料分類、編碼與檔案管理程序草案</w:t>
      </w:r>
    </w:p>
    <w:p>
      <w:pPr>
        <w:spacing w:after="60"/>
      </w:pPr>
      <w:r>
        <w:rPr>
          <w:rFonts w:ascii="Microsoft JhengHei" w:hAnsi="Microsoft JhengHei" w:eastAsia="Microsoft JhengHei"/>
          <w:i/>
          <w:color w:val="566575"/>
          <w:sz w:val="17"/>
        </w:rPr>
        <w:t>填寫入口：先看本文件快速閱讀，再依後段「操作工具補充」完成專屬表單、判斷與追蹤。</w:t>
      </w:r>
    </w:p>
    <w:p>
      <w:pPr>
        <w:keepNext/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5A81"/>
          <w:sz w:val="17"/>
        </w:rPr>
        <w:t>I14-E01｜指標 14｜草案：待確認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  <w:tblHeader w:val="true"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工作稿｜尚待填入本會真實資料並完成審議核定；不代表課程已辦理、流程已核准、聘任已成立、證明已取得或成果已發生。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8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建立訓練資料及過程成果紀錄的系統分類、編碼、建檔與檢索做法。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怎麼使用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本稿提出分類與檢索欄位；本會代碼、期限、權限及系統作法仍須依實況核定。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本表的流程／檢核／追溯欄位及其後附的真實原始證據索引。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目前狀態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只有官方查核要求及空白工作稿；協會現行作法、紀錄、核定與成果均待查證或補入。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官方查核要求</w:t>
      </w:r>
    </w:p>
    <w:p>
      <w:pPr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訓練資料與訓練過程及成果的紀錄與分類，均有系統化歸納方法編碼。</w:t>
      </w: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一、訓練資料分類與建檔規則（草案）</w:t>
      </w: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本稿提供可審議的分類、命名、版本、權限及檢索方法；正式分類碼、保存期限、系統權限及保管位置，須先經本會核定並依實際系統設定。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4104"/>
        <w:gridCol w:w="4205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資料類別</w:t>
            </w:r>
          </w:p>
        </w:tc>
        <w:tc>
          <w:tcPr>
            <w:tcW w:type="dxa" w:w="410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可納入文件範圍</w:t>
            </w:r>
          </w:p>
        </w:tc>
        <w:tc>
          <w:tcPr>
            <w:tcW w:type="dxa" w:w="42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分類與編碼原則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規劃</w:t>
            </w:r>
          </w:p>
        </w:tc>
        <w:tc>
          <w:tcPr>
            <w:tcW w:type="dxa" w:w="410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需求、課程計畫、審查及核定資料</w:t>
            </w:r>
          </w:p>
        </w:tc>
        <w:tc>
          <w:tcPr>
            <w:tcW w:type="dxa" w:w="42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依課程與文件類型分類；保留核定版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師資教材</w:t>
            </w:r>
          </w:p>
        </w:tc>
        <w:tc>
          <w:tcPr>
            <w:tcW w:type="dxa" w:w="410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資格、推薦、評選、教材版本與授權</w:t>
            </w:r>
          </w:p>
        </w:tc>
        <w:tc>
          <w:tcPr>
            <w:tcW w:type="dxa" w:w="42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區分候選資料與核定使用資料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執行</w:t>
            </w:r>
          </w:p>
        </w:tc>
        <w:tc>
          <w:tcPr>
            <w:tcW w:type="dxa" w:w="410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通知、簽到、教學紀錄及行政資料</w:t>
            </w:r>
          </w:p>
        </w:tc>
        <w:tc>
          <w:tcPr>
            <w:tcW w:type="dxa" w:w="42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以實際課程及日期可追溯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評量成果</w:t>
            </w:r>
          </w:p>
        </w:tc>
        <w:tc>
          <w:tcPr>
            <w:tcW w:type="dxa" w:w="410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評量工具、原始資料、分析與回饋</w:t>
            </w:r>
          </w:p>
        </w:tc>
        <w:tc>
          <w:tcPr>
            <w:tcW w:type="dxa" w:w="42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限制個資權限並保留統計口徑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檢討改善</w:t>
            </w:r>
          </w:p>
        </w:tc>
        <w:tc>
          <w:tcPr>
            <w:tcW w:type="dxa" w:w="410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檢討、決議、修訂及追蹤證據</w:t>
            </w:r>
          </w:p>
        </w:tc>
        <w:tc>
          <w:tcPr>
            <w:tcW w:type="dxa" w:w="42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連結前後版本及改善驗證</w:t>
            </w:r>
          </w:p>
        </w:tc>
      </w:tr>
    </w:tbl>
    <w:p>
      <w:pPr>
        <w:spacing w:after="10" w:line="132" w:lineRule="auto"/>
      </w:pP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二、建議命名欄位與版本控制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4896"/>
        <w:gridCol w:w="3053"/>
      </w:tblGrid>
      <w:tr>
        <w:trPr>
          <w:tblHeader w:val="true"/>
          <w:cantSplit/>
        </w:trPr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欄位</w:t>
            </w:r>
          </w:p>
        </w:tc>
        <w:tc>
          <w:tcPr>
            <w:tcW w:type="dxa" w:w="489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建議原則</w:t>
            </w:r>
          </w:p>
        </w:tc>
        <w:tc>
          <w:tcPr>
            <w:tcW w:type="dxa" w:w="30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本會實際值／核定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課程或案件識別</w:t>
            </w:r>
          </w:p>
        </w:tc>
        <w:tc>
          <w:tcPr>
            <w:tcW w:type="dxa" w:w="489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採本會可辨識且不含敏感個資的代碼</w:t>
            </w:r>
          </w:p>
        </w:tc>
        <w:tc>
          <w:tcPr>
            <w:tcW w:type="dxa" w:w="30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[待建立／核定]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文件類型</w:t>
            </w:r>
          </w:p>
        </w:tc>
        <w:tc>
          <w:tcPr>
            <w:tcW w:type="dxa" w:w="489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使用一致分類名稱</w:t>
            </w:r>
          </w:p>
        </w:tc>
        <w:tc>
          <w:tcPr>
            <w:tcW w:type="dxa" w:w="30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[待建立／核定]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形成日期與版次</w:t>
            </w:r>
          </w:p>
        </w:tc>
        <w:tc>
          <w:tcPr>
            <w:tcW w:type="dxa" w:w="489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依真實形成日期；修訂留存差異及核准狀態</w:t>
            </w:r>
          </w:p>
        </w:tc>
        <w:tc>
          <w:tcPr>
            <w:tcW w:type="dxa" w:w="30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[待設定]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保存與權限</w:t>
            </w:r>
          </w:p>
        </w:tc>
        <w:tc>
          <w:tcPr>
            <w:tcW w:type="dxa" w:w="489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依法令、契約及本會核定期限設定</w:t>
            </w:r>
          </w:p>
        </w:tc>
        <w:tc>
          <w:tcPr>
            <w:tcW w:type="dxa" w:w="30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[待核定；不可預設年限]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原件及副本</w:t>
            </w:r>
          </w:p>
        </w:tc>
        <w:tc>
          <w:tcPr>
            <w:tcW w:type="dxa" w:w="489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標明原件、受控副本、作廢版及存取權限</w:t>
            </w:r>
          </w:p>
        </w:tc>
        <w:tc>
          <w:tcPr>
            <w:tcW w:type="dxa" w:w="30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[待設定]</w:t>
            </w:r>
          </w:p>
        </w:tc>
      </w:tr>
    </w:tbl>
    <w:p>
      <w:pPr>
        <w:spacing w:after="10" w:line="132" w:lineRule="auto"/>
      </w:pP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三、檢索、備份與調閱測試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824"/>
        <w:gridCol w:w="2765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測試項目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測試方法／紀錄</w:t>
            </w:r>
          </w:p>
        </w:tc>
        <w:tc>
          <w:tcPr>
            <w:tcW w:type="dxa" w:w="276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結果／改善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依課程／年份／文件類型查找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記錄查找條件、執行角色、實際耗時及缺漏</w:t>
            </w:r>
          </w:p>
        </w:tc>
        <w:tc>
          <w:tcPr>
            <w:tcW w:type="dxa" w:w="276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[實際測試後填]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權限與個資保護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依核定權限抽查可讀、可編輯與下載範圍</w:t>
            </w:r>
          </w:p>
        </w:tc>
        <w:tc>
          <w:tcPr>
            <w:tcW w:type="dxa" w:w="276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[待核定／測試]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備份及還原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依實際系統規則測試可讀性與版本完整性</w:t>
            </w:r>
          </w:p>
        </w:tc>
        <w:tc>
          <w:tcPr>
            <w:tcW w:type="dxa" w:w="276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[實際測試後填]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持續改善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記錄問題、修正、再次測試及覆核證據</w:t>
            </w:r>
          </w:p>
        </w:tc>
        <w:tc>
          <w:tcPr>
            <w:tcW w:type="dxa" w:w="276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[待追蹤]</w:t>
            </w:r>
          </w:p>
        </w:tc>
      </w:tr>
    </w:tbl>
    <w:p>
      <w:pPr>
        <w:spacing w:after="10" w:line="132" w:lineRule="auto"/>
      </w:pPr>
    </w:p>
    <w:p>
      <w:pPr>
        <w:pStyle w:val="Heading1"/>
        <w:keepNext/>
        <w:keepLines/>
        <w:pageBreakBefore/>
      </w:pPr>
      <w:r>
        <w:t>操作工具補充｜訓練資料分類與編碼程序草案</w:t>
      </w:r>
    </w:p>
    <w:p>
      <w:pPr>
        <w:keepLines/>
        <w:spacing w:before="40" w:after="80"/>
      </w:pPr>
      <w:r>
        <w:rPr>
          <w:rFonts w:ascii="Microsoft JhengHei" w:hAnsi="Microsoft JhengHei" w:eastAsia="Microsoft JhengHei"/>
          <w:b w:val="0"/>
          <w:i w:val="0"/>
          <w:sz w:val="18"/>
        </w:rPr>
        <w:t>以下分類與代碼是供協會審議的工作方案，不表示協會已採用或系統已實施。分類詞彙、代碼、權限、保存期限及責任角色須由本會核定；核定前用既有合法檔案名稱管理，不得將草案代碼寫回正式原件。</w:t>
      </w:r>
    </w:p>
    <w:p>
      <w:pPr>
        <w:pStyle w:val="Heading2"/>
        <w:keepNext/>
        <w:keepLines/>
      </w:pPr>
      <w:r>
        <w:t>1. 分類樹草案（提交核定）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cantSplit/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候選大類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納入資料示例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判定問題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主要交叉索引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分類代碼／權責（待核定）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治理與制度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政策、程序、表單版本、會議核定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是否定義全會或制度規則？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制度編號／生效版次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[待核定]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需求與規劃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需求來源、課程提案、目標及審查資料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是否支援需求判讀或事前設計？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課程／需求ID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[待核定]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課程實施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招生、師資、教材、簽到、授課、異常及變更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是否由某次課程實際產生？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班次ID／課程版次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[待核定]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評量與成果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評量原件、回饋、追蹤、結果分析及改善驗證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是否支援某項評量或成果主張？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指標／班次／期間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[待核定]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人員與資格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必要的講師、學員、承辦資格或同意文件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是否含可識別個資或資格資料？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角色代碼／存取限制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[待核定]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外部來源與證明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官方制度、第三方證明、授權與外部原件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出具者、發布者或權利人是誰？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來源ID／取得日期／授權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[待核定]</w:t>
            </w:r>
          </w:p>
        </w:tc>
      </w:tr>
    </w:tbl>
    <w:p>
      <w:pPr>
        <w:pStyle w:val="Heading2"/>
        <w:keepNext/>
        <w:keepLines/>
      </w:pPr>
      <w:r>
        <w:t>2. 命名與中繼資料欄位草案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cantSplit/>
          <w:tblHeader w:val="true"/>
        </w:trPr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欄位／代碼段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定義與格式規則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核對方式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目前設定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唯一文件代碼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建議欄位順序：[年度]-[資料類別]-[班次或案件]-[文件類型]-[流水號]-[版次]。這只是格式提案，代碼字典待核定。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同一原件不可重複碼；更版保留舊版關聯。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[待核定，不得先作正式代碼]</w:t>
            </w:r>
          </w:p>
        </w:tc>
      </w:tr>
      <w:tr>
        <w:trPr>
          <w:cantSplit/>
        </w:trPr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必要中繼資料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標題、文件類型、來源／產生方式、課程／案件ID、建立日期、版本、狀態、負責角色、真實證據位置、權限級別、保存規則。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依核定字典逐項檢查；不可識別個資的欄位不重複抄錄。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[欄位集待核定]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檔名與版本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建議格式：[文件代碼]_[簡短標題]_v[版次]；不得覆蓋已核定原件。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版本升級須有變更原因、修訂人／日期及核定依據。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[待核定]</w:t>
            </w:r>
          </w:p>
        </w:tc>
      </w:tr>
      <w:tr>
        <w:trPr>
          <w:cantSplit/>
        </w:trPr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狀態詞彙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候選狀態：草稿、審查中、已核定、已作廢、封存。正式詞彙和轉換權責待核定。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狀態變更留人、時間、依據及舊值。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[待核定]</w:t>
            </w:r>
          </w:p>
        </w:tc>
      </w:tr>
    </w:tbl>
    <w:p>
      <w:pPr>
        <w:pStyle w:val="Heading2"/>
        <w:keepNext/>
        <w:keepLines/>
        <w:pageBreakBefore/>
      </w:pPr>
      <w:r>
        <w:t>3. 分類、編碼、變更與錯碼處理流程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cantSplit/>
          <w:tblHeader w:val="true"/>
        </w:trPr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步驟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執行方法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檢核點／不可往下走條件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記錄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接收／形成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保留原始檔及來源資訊；確認有權收取／保存。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來源、授權或個資處理不明時，限制存取並先查核。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來源／建立紀錄</w:t>
            </w:r>
          </w:p>
        </w:tc>
      </w:tr>
      <w:tr>
        <w:trPr>
          <w:cantSplit/>
        </w:trPr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分類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按核定分類定義選主類；跨類關聯用交叉索引，不複製原件。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分類依據不清時標待判定，不自行創類。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分類核對欄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編碼與中繼資料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依核定字典產生唯一代碼，填必要欄位並檢查命名。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代碼重複、缺必填或誤含個資時停止入正式庫。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索引／驗證記錄</w:t>
            </w:r>
          </w:p>
        </w:tc>
      </w:tr>
      <w:tr>
        <w:trPr>
          <w:cantSplit/>
        </w:trPr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覆核與存放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覆核人核對分類、版本、權限、位置、保存規則後存放。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角色及權限不清時不得開放存取。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覆核簽記／位置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更正／移轉／封存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保留原版、關聯新版本及更正理由；按核定期限移轉或封存。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不得刪除依法或規範須保留的原件；期限待核定。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異動與封存紀錄</w:t>
            </w:r>
          </w:p>
        </w:tc>
      </w:tr>
      <w:tr>
        <w:trPr>
          <w:cantSplit/>
        </w:trPr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查錯與改善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定期抽查代碼唯一、欄位完整、可檢索與可讀。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發現錯碼、失聯或未授權存取時啟動事件處理。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抽查／改善追蹤</w:t>
            </w:r>
          </w:p>
        </w:tc>
      </w:tr>
    </w:tbl>
    <w:p>
      <w:pPr>
        <w:pStyle w:val="Heading2"/>
        <w:keepNext/>
        <w:keepLines/>
      </w:pPr>
      <w:r>
        <w:t>4. 分類品質檢查與可重算指標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cantSplit/>
          <w:tblHeader w:val="true"/>
        </w:trPr>
        <w:tc>
          <w:tcPr>
            <w:tcW w:type="dxa" w:w="3336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指標／測試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計算或操作步驟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結果／處理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代碼唯一率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抽查／全量比對中無重複代碼數 ÷ 已編碼件數 × 100%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[待實測]；分母0不適用；重複項隔離後更正並保留紀錄。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中繼資料完整率</w:t>
            </w:r>
          </w:p>
        </w:tc>
        <w:tc>
          <w:tcPr>
            <w:tcW w:type="dxa" w:w="3336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必要欄位完整且格式有效件數 ÷ 應檢件數 × 100%</w:t>
            </w:r>
          </w:p>
        </w:tc>
        <w:tc>
          <w:tcPr>
            <w:tcW w:type="dxa" w:w="3336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[待實測]；必填欄位清單與門檻待核定。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檢索測試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依代碼、課程／案件、文件類型及版本各自試查；記錄實際命中原件。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[待實測]；搜不到、命中錯版或未授權可見均列缺失。</w:t>
            </w:r>
          </w:p>
        </w:tc>
      </w:tr>
    </w:tbl>
    <w:p>
      <w:pPr>
        <w:keepLines/>
        <w:spacing w:before="40" w:after="80"/>
      </w:pPr>
      <w:r>
        <w:rPr>
          <w:rFonts w:ascii="Microsoft JhengHei" w:hAnsi="Microsoft JhengHei" w:eastAsia="Microsoft JhengHei"/>
          <w:b w:val="0"/>
          <w:i w:val="0"/>
          <w:sz w:val="18"/>
        </w:rPr>
        <w:t>核定前待決：分類字典、代碼欄位、命名規則、權責角色、權限矩陣、保存年限、備份方式、覆核頻率及錯碼事件通報路徑。</w:t>
      </w:r>
    </w:p>
    <w:p>
      <w:pPr>
        <w:keepLines/>
        <w:spacing w:before="0" w:after="20" w:line="250" w:lineRule="auto"/>
      </w:pPr>
      <w:r>
        <w:rPr>
          <w:rFonts w:ascii="Microsoft JhengHei" w:hAnsi="Microsoft JhengHei" w:eastAsia="Microsoft JhengHei"/>
          <w:b w:val="0"/>
          <w:color w:val="62748A"/>
          <w:sz w:val="16"/>
        </w:rPr>
        <w:t>來源與真實性：官方要求依查核表所列；本稿為可編輯工作稿。協會現況、核定、執行、第三方證明及成果均以取得的真實原始資料為準。</w:t>
      </w:r>
    </w:p>
    <w:p>
      <w:pPr>
        <w:pStyle w:val="Heading1"/>
        <w:keepNext/>
        <w:keepLines/>
      </w:pPr>
      <w:r>
        <w:t>訓練檔案主檔欄位與分類字典（候選稿）</w:t>
      </w:r>
    </w:p>
    <w:p>
      <w:pPr>
        <w:keepLines/>
        <w:spacing w:after="100"/>
      </w:pPr>
      <w:r>
        <w:t>本表是待審議的資料字典，不代表協會已採用任何代碼、保存期限、權限或檔案系統。核定前不得將候選欄位或代碼寫入正式原件。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資料類別</w:t>
            </w:r>
          </w:p>
        </w:tc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候選代碼（待核定）</w:t>
            </w:r>
          </w:p>
        </w:tc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資料擁有角色（待指派）</w:t>
            </w:r>
          </w:p>
        </w:tc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保存期限（待核定）</w:t>
            </w:r>
          </w:p>
        </w:tc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存取權限（待核定）</w:t>
            </w:r>
          </w:p>
        </w:tc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保存位置／版本控制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治理與制度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[待編]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[待指派]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[依適用規定核定]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[最小必要權限]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[位置待核；版次及生效狀態]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需求與規劃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[待編]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[待指派]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[待核]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[待核]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[位置待核]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師資與教材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[待編]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[待指派]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[待核]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[個資／授權分級待核]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[位置待核]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課程實施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[待編]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[待指派]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[待核]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[待核]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[班次及文件版次]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評量與成果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[待編]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[待指派]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[待核]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[個資資料限權]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[來源／彙整版分開]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檢討與改善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[待編]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[待指派]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[待核]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[待核]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[連結前後版本與驗證]</w:t>
            </w:r>
          </w:p>
        </w:tc>
      </w:tr>
    </w:tbl>
    <w:p>
      <w:pPr>
        <w:pStyle w:val="Heading2"/>
        <w:keepNext/>
        <w:keepLines/>
      </w:pPr>
      <w:r>
        <w:t>文件生命週期圖（可編輯流程）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</w:trPr>
        <w:tc>
          <w:tcPr>
            <w:tcW w:type="dxa" w:w="250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形成／收件</w:t>
            </w:r>
          </w:p>
        </w:tc>
        <w:tc>
          <w:tcPr>
            <w:tcW w:type="dxa" w:w="250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類別與敏感度判定</w:t>
            </w:r>
          </w:p>
        </w:tc>
        <w:tc>
          <w:tcPr>
            <w:tcW w:type="dxa" w:w="250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套用核定代碼與中繼資料</w:t>
            </w:r>
          </w:p>
        </w:tc>
        <w:tc>
          <w:tcPr>
            <w:tcW w:type="dxa" w:w="250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受控保存／備份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5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記錄來源、形成日期、原件與收件角色</w:t>
            </w:r>
          </w:p>
        </w:tc>
        <w:tc>
          <w:tcPr>
            <w:tcW w:type="dxa" w:w="25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個資或敏感資料？是→限權／去識別；不確定→隔離待核</w:t>
            </w:r>
          </w:p>
        </w:tc>
        <w:tc>
          <w:tcPr>
            <w:tcW w:type="dxa" w:w="25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代碼或必填欄未核定時，不得入正式主檔</w:t>
            </w:r>
          </w:p>
        </w:tc>
        <w:tc>
          <w:tcPr>
            <w:tcW w:type="dxa" w:w="25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保留版本、權限、備份與調閱軌跡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</w:trPr>
        <w:tc>
          <w:tcPr>
            <w:tcW w:type="dxa" w:w="250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檢索與調閱</w:t>
            </w:r>
          </w:p>
        </w:tc>
        <w:tc>
          <w:tcPr>
            <w:tcW w:type="dxa" w:w="250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完整性／版本覆核</w:t>
            </w:r>
          </w:p>
        </w:tc>
        <w:tc>
          <w:tcPr>
            <w:tcW w:type="dxa" w:w="250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移轉／封存</w:t>
            </w:r>
          </w:p>
        </w:tc>
        <w:tc>
          <w:tcPr>
            <w:tcW w:type="dxa" w:w="250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依法與核定處置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5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以代碼、年度、班次、類型或版本定位原件</w:t>
            </w:r>
          </w:p>
        </w:tc>
        <w:tc>
          <w:tcPr>
            <w:tcW w:type="dxa" w:w="25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核對來源、可讀性、正確版本與存取權</w:t>
            </w:r>
          </w:p>
        </w:tc>
        <w:tc>
          <w:tcPr>
            <w:tcW w:type="dxa" w:w="25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按核定期限移轉並限制存取</w:t>
            </w:r>
          </w:p>
        </w:tc>
        <w:tc>
          <w:tcPr>
            <w:tcW w:type="dxa" w:w="25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到期銷毀或保存；留執行紀錄及覆核</w:t>
            </w:r>
          </w:p>
        </w:tc>
      </w:tr>
    </w:tbl>
    <w:p>
      <w:pPr>
        <w:pStyle w:val="Heading2"/>
        <w:keepNext/>
        <w:keepLines/>
      </w:pPr>
      <w:r>
        <w:t>檢索測試紀錄與服務指標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測試ID／日期</w:t>
            </w:r>
          </w:p>
        </w:tc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查詢條件與預期原件</w:t>
            </w:r>
          </w:p>
        </w:tc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實際命中／正確版</w:t>
            </w:r>
          </w:p>
        </w:tc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耗時（秒）</w:t>
            </w:r>
          </w:p>
        </w:tc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成功／失敗與缺失</w:t>
            </w:r>
          </w:p>
        </w:tc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覆核／改善證據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[文件碼／班次／類型]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[檔名、頁次、版本待填]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[待實測]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□成功 □失敗；原因：[待填]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[覆核及改善位置]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[待實測]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□成功 □失敗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[待實測]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□成功 □失敗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KPI</w:t>
            </w:r>
          </w:p>
        </w:tc>
        <w:tc>
          <w:tcPr>
            <w:tcW w:type="dxa" w:w="3336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公式／定義</w:t>
            </w:r>
          </w:p>
        </w:tc>
        <w:tc>
          <w:tcPr>
            <w:tcW w:type="dxa" w:w="3336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結果與限制</w:t>
            </w:r>
          </w:p>
        </w:tc>
      </w:tr>
      <w:tr>
        <w:trPr>
          <w:cantSplit/>
          <w:cantSplit/>
          <w:cantSplit/>
        </w:trPr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檢索成功率</w:t>
            </w:r>
          </w:p>
        </w:tc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成功找到正確、可讀且有權限版本的測試次數 ÷ 有效檢索測試總次數 × 100%。</w:t>
            </w:r>
          </w:p>
        </w:tc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[待算；分母0列不適用]</w:t>
            </w:r>
          </w:p>
        </w:tc>
      </w:tr>
      <w:tr>
        <w:trPr>
          <w:cantSplit/>
          <w:cantSplit/>
          <w:cantSplit/>
        </w:trPr>
        <w:tc>
          <w:tcPr>
            <w:tcW w:type="dxa" w:w="333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中位檢索秒數</w:t>
            </w:r>
          </w:p>
        </w:tc>
        <w:tc>
          <w:tcPr>
            <w:tcW w:type="dxa" w:w="333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將有效檢索耗時由小到大排序，取中位數；說明測試條件及樣本數。</w:t>
            </w:r>
          </w:p>
        </w:tc>
        <w:tc>
          <w:tcPr>
            <w:tcW w:type="dxa" w:w="333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[待實測；無測試不計算]</w:t>
            </w:r>
          </w:p>
        </w:tc>
      </w:tr>
      <w:tr>
        <w:trPr>
          <w:cantSplit/>
          <w:cantSplit/>
          <w:cantSplit/>
        </w:trPr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P95檢索秒數</w:t>
            </w:r>
          </w:p>
        </w:tc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耗時排序後取最近秩第 ceil(0.95×n) 項；列 n、單位及測試條件。</w:t>
            </w:r>
          </w:p>
        </w:tc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[待實測；無測試不計算]</w:t>
            </w:r>
          </w:p>
        </w:tc>
      </w:tr>
    </w:tbl>
    <w:p>
      <w:pPr>
        <w:keepLines/>
        <w:spacing w:before="60" w:after="120"/>
      </w:pPr>
      <w:r>
        <w:rPr>
          <w:b/>
          <w:color w:val="9C4500"/>
        </w:rPr>
        <w:t>流程圖與字典均為候選工作稿。分類代碼、權責、存取、期限與位置須經本會核定並以現況驗證後，才可標為正式設定。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待本會填實、審議核定後使用｜第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Microsoft JhengHei" w:hAnsi="Microsoft JhengHei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