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設備安檢與場地投保證明取得及查驗登錄包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I12-E04｜指標 12｜工作稿 R04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管理適用設備／場地之第三方或主管機關原件索取、真偽核驗、效期檢查與索引。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適用範圍、原件核驗、缺件處理、原件索引。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設備安檢或是場地投保證明。</w:t>
      </w:r>
    </w:p>
    <w:p>
      <w:pPr>
        <w:widowControl/>
      </w:pPr>
      <w:r>
        <w:t>管理適用設備／場地之第三方或主管機關原件索取、真偽核驗、效期檢查與索引。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先判定要取得哪一種文件</w:t>
      </w:r>
    </w:p>
    <w:p>
      <w:pPr>
        <w:widowControl/>
      </w:pPr>
      <w:r>
        <w:t>依實際課程、設備及場地逐項盤點。此要求容許依適用情形提出設備安檢或場地投保證明；不得未查明適用範圍就聲稱兩者皆已取得。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項目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適用設備／地址／課程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應取得原件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適用性判定與依據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設備安檢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檢查報告／合格證明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待核對實際設備及規定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場地投保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保險證明／保單相關頁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待核對實際場地及保障範圍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不適用項目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不適用理由及覆核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須附適用性判斷來源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</w:tr>
    </w:tbl>
    <w:p>
      <w:pPr>
        <w:pStyle w:val="Heading1"/>
        <w:keepNext/>
      </w:pPr>
      <w:r>
        <w:t>2. 原件取得步驟與對外索取文字</w:t>
      </w:r>
    </w:p>
    <w:p>
      <w:pPr>
        <w:widowControl/>
      </w:pPr>
      <w:r>
        <w:t>• 盤點設備名稱、識別碼、場地地址、使用課程及預計期間。</w:t>
      </w:r>
    </w:p>
    <w:p>
      <w:pPr>
        <w:widowControl/>
      </w:pPr>
      <w:r>
        <w:t>• 確認應出具的第三方／主管機關及文件種類；先核對適用要求，不指定或虛構簽發者。</w:t>
      </w:r>
    </w:p>
    <w:p>
      <w:pPr>
        <w:widowControl/>
      </w:pPr>
      <w:r>
        <w:t>• 向出具者索取可驗真的完整原件或正式副本，記錄索取日、收件日、聯絡管道及文件編號。</w:t>
      </w:r>
    </w:p>
    <w:p>
      <w:pPr>
        <w:widowControl/>
      </w:pPr>
      <w:r>
        <w:t>• 逐項核對出具者、設備／地址、檢查或保障範圍、日期、有效期間、限制、除外事項及簽發資訊。</w:t>
      </w:r>
    </w:p>
    <w:p>
      <w:pPr>
        <w:widowControl/>
      </w:pPr>
      <w:r>
        <w:t>• 用出具者官方聯絡或可驗證系統查核；記錄查核管道、時間、查核人及結果。</w:t>
      </w:r>
    </w:p>
    <w:p>
      <w:pPr>
        <w:widowControl/>
      </w:pPr>
      <w:r>
        <w:t>• 核實後以唯讀原件歸檔並建立索引；權限、保存及個資處理依協會核定規則。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可直接複製的索取欄位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待填內容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索取對象／正式聯絡方式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待查證後填，不以未確認地址寄送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設備／場地及識別資訊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待填實際名稱、編號、地址及適用課程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所需原件及範圍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請提供可核驗的安檢／檢查或投保證明，並包含簽發者、編號、日期、適用標的、範圍及有效期間。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回覆期限／承辦角色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待協會指定；記錄索取及催辦日期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隱私／授權注意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只索取必要資料；限制個資及保單敏感資訊的存取。</w:t>
            </w:r>
          </w:p>
        </w:tc>
      </w:tr>
    </w:tbl>
    <w:p>
      <w:pPr>
        <w:pStyle w:val="Heading1"/>
        <w:keepNext/>
      </w:pPr>
      <w:r>
        <w:t>3. 原件核驗與狀態判定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核驗狀態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判定條件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後續處理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尚無可查驗原件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向出具者索取；不得用本表或照片標示為已取得。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待核驗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有文件但未完成來源、標的或效期核對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保持待核驗；補查出具者及文件範圍。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有效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來源可回查、標的相符、日期／期間有效、限制已記錄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由覆核角色簽認後索引原件。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不符／逾期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出具者、標的、範圍不符，或期間失效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不得列為有效佐證；補件或依權責處理。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不適用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經證據支持無適用設備／場地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記錄理由、來源及覆核；不以空白代替。</w:t>
            </w:r>
          </w:p>
        </w:tc>
      </w:tr>
    </w:tbl>
    <w:p>
      <w:pPr>
        <w:pStyle w:val="Heading1"/>
        <w:keepNext/>
      </w:pPr>
      <w:r>
        <w:t>4. 原件與查核紀錄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原件ID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類型／標的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出具者／編號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出具／效期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範圍與限制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查驗管道／日期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原件路徑／覆核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安檢／投保；待填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照原文摘要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安檢／投保；待填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照原文摘要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安檢／投保；待填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照原文摘要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</w:tbl>
    <w:p>
      <w:pPr>
        <w:pStyle w:val="Heading1"/>
        <w:keepNext/>
      </w:pPr>
      <w:r>
        <w:t>5. 缺件、到期與調閱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追蹤ID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缺件／到期事項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負責角色／期限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催取／續保證據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調閱／備份測試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結論／覆核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待取得原件／效期提醒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待取得原件／效期提醒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待取得原件／效期提醒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widowControl/>
      </w:pPr>
      <w:r>
        <w:t>取得率＝已取得且核驗有效的適用原件數 ÷ 應取得的適用原件數。應取得件數為 0 時標示「不適用」並記錄理由；分母或原件狀態未核實時不得計算。第三方未回覆時，狀態保持待取得；只有出具者正式補件或主管權責核定的處理，才能更新。</w:t>
      </w:r>
    </w:p>
    <w:p>
      <w:pPr>
        <w:pStyle w:val="Heading1"/>
        <w:keepNext/>
      </w:pPr>
      <w:r>
        <w:t>6. 要求追溯與升格前檢核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查核要求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本稿對應欄位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目前結果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證據位置／覆核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設備安檢或是場地投保證明。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適用性清單、原件登錄、真偽及效期核驗、索取與缺件追蹤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本稿只有空白工具，未含第三方原件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待填原件名稱／受控位置／覆核人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官方要求：設備安檢或是場地投保證明。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R04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  <w:pageBreakBefore/>
      </w:pPr>
      <w:r>
        <w:t>七、I12-E04第三方原件升格檢核與授權紀錄</w:t>
      </w:r>
    </w:p>
    <w:p>
      <w:pPr>
        <w:keepNext/>
      </w:pPr>
      <w:r>
        <w:t>正式佐證必須附真正出具者提供的設備安檢或場地投保原件。本表只管理索取、驗真與保存；不得以本表代替外部證明。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升格必核項目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應填欄位／判斷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必要原件或核驗來源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目前狀態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位置／覆核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適用標的與範圍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設備/場地識別、地址、課程/期間；不適用須附理由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設備/場地盤點及適用性依據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待盤點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T02；待填來源ID及覆核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出具者與原件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出具機構/主管機關、文件編號、出具日、有效期間、簽發資訊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第三方/官方完整原件或正式可驗副本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T05；不得以AI文件或截圖代替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範圍與一致性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標的、檢查/保障範圍、限制/除外、日期與課程一致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原件內容及可回查出具者/查驗系統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待核驗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T04–T05；記錄查驗管道、日期與結果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必要授權與個資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用途、取得/使用授權來源及日期；只保留必要頁面/欄位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出具者授權或合法取得依據；敏感資料存取限制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待核對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T03、T05；未確認前限制存取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原件保存與缺件追蹤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唯讀路徑、保管角色、期限、催取/到期提醒及下一步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受控位置、核定保存規則、催取紀錄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待補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T06；待填負責角色與期限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直接查核與覆核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官方要求、適用性、有效原件、證據位置、覆核結論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I12-E04真實第三方/官方原件及覆核紀錄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目前只有可填工具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T07；原件未取得不得標示通過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