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訓練對組織績效改善成效分析報告</w:t>
      </w:r>
    </w:p>
    <w:p>
      <w:pPr>
        <w:spacing w:after="140"/>
      </w:pPr>
      <w:r>
        <w:rPr>
          <w:rFonts w:ascii="Microsoft JhengHei" w:hAnsi="Microsoft JhengHei" w:eastAsia="Microsoft JhengHei"/>
          <w:b w:val="0"/>
          <w:color w:val="58718A"/>
          <w:sz w:val="19"/>
        </w:rPr>
        <w:t>社團法人屏東縣原始點關懷協會｜工作稿／待補資料或核定</w:t>
      </w:r>
    </w:p>
    <w:p>
      <w:pPr>
        <w:spacing w:after="80"/>
      </w:pPr>
      <w:r>
        <w:rPr>
          <w:rFonts w:ascii="Microsoft JhengHei" w:hAnsi="Microsoft JhengHei" w:eastAsia="Microsoft JhengHei"/>
          <w:b/>
          <w:color w:val="9C4A00"/>
          <w:sz w:val="18"/>
        </w:rPr>
        <w:t>請以可回查的實際原始資料填寫；未取得的第三方證明、核准、簽章及成果不得推定。</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以目標客戶／學員問卷、課後行動計畫及可核驗組織指標，分別呈現訓練與績效改善的資料。</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固定調查期間、對象、指標及計算口徑；主觀感受、行動完成和客觀組織數據分開報告。</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先看期間與樣本分母，再看問卷、行動追蹤、組織指標及證據限制。</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尚無本批實際調查、行動計畫或組織績效數據；本稿是完整空白報告格式，不表示已發生顯著改善。</w:t>
            </w:r>
          </w:p>
        </w:tc>
      </w:tr>
    </w:tbl>
    <w:p>
      <w:pPr>
        <w:spacing w:after="0" w:before="0" w:line="20" w:lineRule="exact"/>
      </w:pPr>
    </w:p>
    <w:p>
      <w:pPr>
        <w:keepLines/>
      </w:pPr>
      <w:r>
        <w:rPr>
          <w:rFonts w:ascii="Microsoft JhengHei" w:hAnsi="Microsoft JhengHei" w:eastAsia="Microsoft JhengHei"/>
          <w:b w:val="0"/>
          <w:color w:val="24364B"/>
          <w:sz w:val="22"/>
        </w:rPr>
        <w:t>對應查核項目：問卷調查及課後行動計畫評估表等顯示目標客戶及學員認為訓練對組織績效的改善及提升均有顯著的效果。</w:t>
      </w:r>
    </w:p>
    <w:p>
      <w:pPr>
        <w:keepLines/>
      </w:pPr>
      <w:r>
        <w:rPr>
          <w:rFonts w:ascii="Microsoft JhengHei" w:hAnsi="Microsoft JhengHei" w:eastAsia="Microsoft JhengHei"/>
          <w:b w:val="0"/>
          <w:color w:val="24364B"/>
          <w:sz w:val="22"/>
        </w:rPr>
        <w:t>協會方向：社團法人屏東縣原始點關懷協會，以健康教育及傳統整復推拿技術為核心，保留依實際市場需求發展多元課程的空間。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本件待補：經核定調查工具、目標客戶／學員同意、前後期可比的組織績效原始資料及實際改善追蹤。</w:t>
      </w:r>
    </w:p>
    <w:p>
      <w:pPr>
        <w:pStyle w:val="Heading1"/>
        <w:keepNext/>
      </w:pPr>
      <w:r>
        <w:rPr>
          <w:rFonts w:ascii="Microsoft JhengHei" w:hAnsi="Microsoft JhengHei" w:eastAsia="Microsoft JhengHei"/>
          <w:b/>
          <w:color w:val="183B63"/>
          <w:sz w:val="30"/>
        </w:rPr>
        <w:t>一、成果命題與評分適用</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30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項目</w:t>
            </w:r>
          </w:p>
        </w:tc>
        <w:tc>
          <w:tcPr>
            <w:tcW w:type="dxa" w:w="770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填寫／判讀</w:t>
            </w:r>
          </w:p>
        </w:tc>
      </w:tr>
      <w:tr>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官方要求</w:t>
            </w:r>
          </w:p>
        </w:tc>
        <w:tc>
          <w:tcPr>
            <w:tcW w:type="dxa" w:w="77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問卷調查及課後行動計畫評估表等顯示目標客戶及學員認為訓練對組織績效的改善及提升均有顯著的效果。</w:t>
            </w:r>
          </w:p>
        </w:tc>
      </w:tr>
      <w:tr>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適用組織與訓練</w:t>
            </w:r>
          </w:p>
        </w:tc>
        <w:tc>
          <w:tcPr>
            <w:tcW w:type="dxa" w:w="77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[待補；列目標客戶、學員、班次及組織範圍]</w:t>
            </w:r>
          </w:p>
        </w:tc>
      </w:tr>
      <w:tr>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評分級距</w:t>
            </w:r>
          </w:p>
        </w:tc>
        <w:tc>
          <w:tcPr>
            <w:tcW w:type="dxa" w:w="77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依官方評核文字逐級核對；「顯著」須有充分樣本、可比資料及明確分析，不以單一平均或自述直接定級。</w:t>
            </w:r>
          </w:p>
        </w:tc>
      </w:tr>
      <w:tr>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報告期間</w:t>
            </w:r>
          </w:p>
        </w:tc>
        <w:tc>
          <w:tcPr>
            <w:tcW w:type="dxa" w:w="77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[待補；列訓前基準期、訓練期及追蹤期]</w:t>
            </w:r>
          </w:p>
        </w:tc>
      </w:tr>
      <w:tr>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資料界線</w:t>
            </w:r>
          </w:p>
        </w:tc>
        <w:tc>
          <w:tcPr>
            <w:tcW w:type="dxa" w:w="77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問卷反映感受；行動計畫反映應用；客觀績效指標另以可回查來源核驗。</w:t>
            </w:r>
          </w:p>
        </w:tc>
      </w:tr>
    </w:tbl>
    <w:p>
      <w:pPr>
        <w:spacing w:after="0" w:before="0" w:line="20" w:lineRule="exact"/>
      </w:pPr>
    </w:p>
    <w:p>
      <w:pPr>
        <w:pStyle w:val="Heading1"/>
        <w:keepNext/>
      </w:pPr>
      <w:r>
        <w:rPr>
          <w:rFonts w:ascii="Microsoft JhengHei" w:hAnsi="Microsoft JhengHei" w:eastAsia="Microsoft JhengHei"/>
          <w:b/>
          <w:color w:val="183B63"/>
          <w:sz w:val="30"/>
        </w:rPr>
        <w:t>二、母體、樣本與調查</w:t>
      </w:r>
    </w:p>
    <w:tbl>
      <w:tblPr>
        <w:tblStyle w:val="TableGrid"/>
        <w:tblW w:type="auto" w:w="0"/>
        <w:jc w:val="center"/>
        <w:tblLayout w:type="fixed"/>
        <w:tblLook w:firstColumn="1" w:firstRow="1" w:lastColumn="0" w:lastRow="0" w:noHBand="0" w:noVBand="1" w:val="04A0"/>
      </w:tblPr>
      <w:tblGrid>
        <w:gridCol w:w="1668"/>
        <w:gridCol w:w="1668"/>
        <w:gridCol w:w="1668"/>
        <w:gridCol w:w="1668"/>
        <w:gridCol w:w="1668"/>
        <w:gridCol w:w="1668"/>
      </w:tblGrid>
      <w:tr>
        <w:trPr>
          <w:tblHeader w:val="true"/>
        </w:trPr>
        <w:tc>
          <w:tcPr>
            <w:tcW w:type="dxa" w:w="17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對象</w:t>
            </w:r>
          </w:p>
        </w:tc>
        <w:tc>
          <w:tcPr>
            <w:tcW w:type="dxa" w:w="158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符合條件 N</w:t>
            </w:r>
          </w:p>
        </w:tc>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邀請數</w:t>
            </w:r>
          </w:p>
        </w:tc>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有效回覆 n</w:t>
            </w:r>
          </w:p>
        </w:tc>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回收率 n/N</w:t>
            </w:r>
          </w:p>
        </w:tc>
        <w:tc>
          <w:tcPr>
            <w:tcW w:type="dxa" w:w="201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缺漏／排除理由</w:t>
            </w:r>
          </w:p>
        </w:tc>
      </w:tr>
      <w:tr>
        <w:tc>
          <w:tcPr>
            <w:tcW w:type="dxa" w:w="17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學員</w:t>
            </w:r>
          </w:p>
        </w:tc>
        <w:tc>
          <w:tcPr>
            <w:tcW w:type="dxa" w:w="15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17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目標客戶／委託單位</w:t>
            </w:r>
          </w:p>
        </w:tc>
        <w:tc>
          <w:tcPr>
            <w:tcW w:type="dxa" w:w="15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bl>
    <w:p>
      <w:pPr>
        <w:spacing w:after="0" w:before="0" w:line="20" w:lineRule="exact"/>
      </w:pPr>
    </w:p>
    <w:p>
      <w:pPr>
        <w:pStyle w:val="Heading1"/>
        <w:keepNext/>
      </w:pPr>
      <w:r>
        <w:rPr>
          <w:rFonts w:ascii="Microsoft JhengHei" w:hAnsi="Microsoft JhengHei" w:eastAsia="Microsoft JhengHei"/>
          <w:b/>
          <w:color w:val="183B63"/>
          <w:sz w:val="30"/>
        </w:rPr>
        <w:t>三、組織績效指標與資料血緣</w:t>
      </w:r>
    </w:p>
    <w:tbl>
      <w:tblPr>
        <w:tblStyle w:val="TableGrid"/>
        <w:tblW w:type="auto" w:w="0"/>
        <w:jc w:val="center"/>
        <w:tblLayout w:type="fixed"/>
        <w:tblLook w:firstColumn="1" w:firstRow="1" w:lastColumn="0" w:lastRow="0" w:noHBand="0" w:noVBand="1" w:val="04A0"/>
      </w:tblPr>
      <w:tblGrid>
        <w:gridCol w:w="1668"/>
        <w:gridCol w:w="1668"/>
        <w:gridCol w:w="1668"/>
        <w:gridCol w:w="1668"/>
        <w:gridCol w:w="1668"/>
        <w:gridCol w:w="1668"/>
      </w:tblGrid>
      <w:tr>
        <w:trPr>
          <w:tblHeader w:val="true"/>
        </w:trPr>
        <w:tc>
          <w:tcPr>
            <w:tcW w:type="dxa" w:w="1800"/>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3"/>
              </w:rPr>
              <w:t>指標</w:t>
            </w:r>
          </w:p>
        </w:tc>
        <w:tc>
          <w:tcPr>
            <w:tcW w:type="dxa" w:w="2376"/>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3"/>
              </w:rPr>
              <w:t>分子／分母與定義</w:t>
            </w:r>
          </w:p>
        </w:tc>
        <w:tc>
          <w:tcPr>
            <w:tcW w:type="dxa" w:w="1440"/>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3"/>
              </w:rPr>
              <w:t>基準期</w:t>
            </w:r>
          </w:p>
        </w:tc>
        <w:tc>
          <w:tcPr>
            <w:tcW w:type="dxa" w:w="1440"/>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3"/>
              </w:rPr>
              <w:t>追蹤期</w:t>
            </w:r>
          </w:p>
        </w:tc>
        <w:tc>
          <w:tcPr>
            <w:tcW w:type="dxa" w:w="1944"/>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3"/>
              </w:rPr>
              <w:t>來源／目標</w:t>
            </w:r>
          </w:p>
        </w:tc>
        <w:tc>
          <w:tcPr>
            <w:tcW w:type="dxa" w:w="1440"/>
            <w:vAlign w:val="center"/>
            <w:shd w:fill="DCEAF5"/>
            <w:tcMar>
              <w:top w:w="85" w:type="dxa"/>
              <w:start w:w="95" w:type="dxa"/>
              <w:bottom w:w="85" w:type="dxa"/>
              <w:end w:w="95" w:type="dxa"/>
            </w:tcMar>
          </w:tcPr>
          <w:p>
            <w:pPr>
              <w:keepNext/>
              <w:keepLines/>
              <w:spacing w:after="0"/>
            </w:pPr>
            <w:r>
              <w:rPr>
                <w:rFonts w:ascii="Microsoft JhengHei" w:hAnsi="Microsoft JhengHei" w:eastAsia="Microsoft JhengHei"/>
                <w:b/>
                <w:color w:val="183B63"/>
                <w:sz w:val="13"/>
              </w:rPr>
              <w:t>結果／變化</w:t>
            </w:r>
          </w:p>
        </w:tc>
      </w:tr>
      <w:tr>
        <w:trPr>
          <w:cantSplit/>
        </w:trP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依實際核定指標填寫</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[待補；不可事後挑選有利指標]</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[數值／N／期間待補]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[數值／N／期間待補]</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[原件／目標待補]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問卷感受分布</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每題列有效 N、分布與無法判斷</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不適用／問卷基準</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回覆原件：[待補]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課後行動完成</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完成且有佐證件數 ÷ 到期適用行動數</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計畫與追蹤紀錄：[待補]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r>
    </w:tbl>
    <w:p>
      <w:pPr>
        <w:spacing w:after="0" w:before="0" w:line="20" w:lineRule="exact"/>
      </w:pPr>
    </w:p>
    <w:p>
      <w:pPr>
        <w:keepLines/>
      </w:pPr>
      <w:r>
        <w:rPr>
          <w:rFonts w:ascii="Microsoft JhengHei" w:hAnsi="Microsoft JhengHei" w:eastAsia="Microsoft JhengHei"/>
          <w:b w:val="0"/>
          <w:color w:val="24364B"/>
          <w:sz w:val="22"/>
        </w:rPr>
        <w:t>計算：成果率＝符合預先定義條件的人數 ÷ 可評估人數；變化率＝(追蹤期－基準期) ÷ 基準期。基準期為零、資料口徑不同或分母無法核實時，不得套算百分比，需說明限制。</w:t>
      </w:r>
    </w:p>
    <w:p>
      <w:pPr>
        <w:pStyle w:val="Heading1"/>
        <w:keepNext/>
      </w:pPr>
      <w:r>
        <w:rPr>
          <w:rFonts w:ascii="Microsoft JhengHei" w:hAnsi="Microsoft JhengHei" w:eastAsia="Microsoft JhengHei"/>
          <w:b/>
          <w:color w:val="183B63"/>
          <w:sz w:val="30"/>
        </w:rPr>
        <w:t>四、個案、改善與證據</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案例代碼</w:t>
            </w:r>
          </w:p>
        </w:tc>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前狀態／基準</w:t>
            </w:r>
          </w:p>
        </w:tc>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訓練／行動</w:t>
            </w:r>
          </w:p>
        </w:tc>
        <w:tc>
          <w:tcPr>
            <w:tcW w:type="dxa" w:w="216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後狀態／指標</w:t>
            </w:r>
          </w:p>
        </w:tc>
        <w:tc>
          <w:tcPr>
            <w:tcW w:type="dxa" w:w="187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證據位置</w:t>
            </w:r>
          </w:p>
        </w:tc>
      </w:tr>
      <w:tr>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[待補；去識別]</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[原始值／期間]</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[訓練與實際行動]</w:t>
            </w:r>
          </w:p>
        </w:tc>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[實際值／期間]</w:t>
            </w:r>
          </w:p>
        </w:tc>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bl>
    <w:p>
      <w:pPr>
        <w:spacing w:after="0" w:before="0" w:line="20" w:lineRule="exact"/>
      </w:pPr>
    </w:p>
    <w:p>
      <w:pPr>
        <w:pStyle w:val="Heading1"/>
        <w:keepNext/>
      </w:pPr>
      <w:r>
        <w:rPr>
          <w:rFonts w:ascii="Microsoft JhengHei" w:hAnsi="Microsoft JhengHei" w:eastAsia="Microsoft JhengHei"/>
          <w:b/>
          <w:color w:val="183B63"/>
          <w:sz w:val="30"/>
        </w:rPr>
        <w:t>五、信度、限制及交叉驗證</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4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檢核</w:t>
            </w:r>
          </w:p>
        </w:tc>
        <w:tc>
          <w:tcPr>
            <w:tcW w:type="dxa" w:w="756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填寫</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資料來源與血緣</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[問卷版本、邀請母體、原始回覆、帳務／營運資料及計算檔的位置]</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比較條件</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[組織規模、服務量、價格、季節、政策或其他同期變化]</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歸因限制</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前後差異及受訪者感受不能單獨證明因果；如無比較組或其他佐證，據實說明。</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I17／I18／I19 交叉驗證</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[引用核實的需求／執行／個人或組織成果文件，不複製不同口徑數字]</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改善、擴散與附件</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[核實後由權責人決定；附原始問卷、行動計畫、指標底稿及覆核]</w:t>
            </w:r>
          </w:p>
        </w:tc>
      </w:tr>
    </w:tbl>
    <w:p>
      <w:pPr>
        <w:spacing w:after="0" w:before="0" w:line="20" w:lineRule="exact"/>
      </w:pPr>
    </w:p>
    <w:p>
      <w:pPr>
        <w:pStyle w:val="Heading2"/>
        <w:keepNext/>
      </w:pPr>
      <w:r>
        <w:rPr>
          <w:rFonts w:ascii="Microsoft JhengHei" w:hAnsi="Microsoft JhengHei" w:eastAsia="Microsoft JhengHei"/>
          <w:b/>
          <w:color w:val="245A81"/>
          <w:sz w:val="24"/>
        </w:rPr>
        <w:t>原始資料與調閱索引</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資料項目</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來源狀態</w:t>
            </w:r>
          </w:p>
        </w:tc>
        <w:tc>
          <w:tcPr>
            <w:tcW w:type="dxa" w:w="24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檔名／頁次／欄位</w:t>
            </w:r>
          </w:p>
        </w:tc>
        <w:tc>
          <w:tcPr>
            <w:tcW w:type="dxa" w:w="180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保管／覆核</w:t>
            </w:r>
          </w:p>
        </w:tc>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狀態</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調查計畫／問卷版本</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待建立／待核定</w:t>
            </w:r>
          </w:p>
        </w:tc>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有效回覆及行動計畫</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尚無資料</w:t>
            </w:r>
          </w:p>
        </w:tc>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組織績效原始指標</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尚未取得</w:t>
            </w:r>
          </w:p>
        </w:tc>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bl>
    <w:p>
      <w:pPr>
        <w:spacing w:after="0" w:before="0" w:line="20" w:lineRule="exact"/>
      </w:pPr>
    </w:p>
    <w:p>
      <w:pPr>
        <w:pStyle w:val="Heading2"/>
        <w:keepNext/>
      </w:pPr>
      <w:r>
        <w:rPr>
          <w:rFonts w:ascii="Microsoft JhengHei" w:hAnsi="Microsoft JhengHei" w:eastAsia="Microsoft JhengHei"/>
          <w:b/>
          <w:color w:val="245A81"/>
          <w:sz w:val="24"/>
        </w:rPr>
        <w:t>需求與證據追溯</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要求／項目</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資料來源</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欄位／指標與結果</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證據位置</w:t>
            </w:r>
          </w:p>
        </w:tc>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覆核／狀態</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問卷調查及課後行動計畫評估表等顯示目標客戶及學員認為訓練對組織績效的改善及提升均有顯著的效果。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問卷、行動計畫及客觀指標</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有效 N／變化率／期間</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[待覆核]</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目標客戶及學員感受</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匿名問卷原始資料</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各題有效 n 及分布</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[待覆核]</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組織績效改善</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原始系統／會計／營運紀錄</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指標基準／追蹤值</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[待取得]</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[待覆核]</w:t>
            </w:r>
          </w:p>
        </w:tc>
      </w:tr>
    </w:tbl>
    <w:p>
      <w:pPr>
        <w:spacing w:after="0" w:before="0" w:line="20" w:lineRule="exact"/>
      </w:pPr>
    </w:p>
    <w:p>
      <w:pPr>
        <w:pStyle w:val="Heading2"/>
        <w:keepNext/>
      </w:pPr>
      <w:r>
        <w:rPr>
          <w:rFonts w:ascii="Microsoft JhengHei" w:hAnsi="Microsoft JhengHei" w:eastAsia="Microsoft JhengHei"/>
          <w:b/>
          <w:color w:val="245A81"/>
          <w:sz w:val="24"/>
        </w:rPr>
        <w:t>確認欄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33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承辦／日期</w:t>
            </w:r>
          </w:p>
        </w:tc>
        <w:tc>
          <w:tcPr>
            <w:tcW w:type="dxa" w:w="33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覆核／日期</w:t>
            </w:r>
          </w:p>
        </w:tc>
        <w:tc>
          <w:tcPr>
            <w:tcW w:type="dxa" w:w="33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核定／依據</w:t>
            </w:r>
          </w:p>
        </w:tc>
      </w:tr>
      <w:tr>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[待核定]</w:t>
            </w:r>
          </w:p>
        </w:tc>
      </w:tr>
    </w:tbl>
    <w:p>
      <w:pPr>
        <w:spacing w:after="0" w:before="0" w:line="20" w:lineRule="exact"/>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訓練對組織績效改善成效分析報告</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