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20"/>
        <w:jc w:val="center"/>
      </w:pPr>
      <w:r>
        <w:rPr>
          <w:rFonts w:ascii="Microsoft JhengHei" w:hAnsi="Microsoft JhengHei" w:eastAsia="Microsoft JhengHei"/>
          <w:b/>
          <w:color w:val="17365D"/>
          <w:sz w:val="56"/>
        </w:rPr>
        <w:t>職能分析與運用方法</w:t>
        <w:br/>
        <w:t>檢討及改進分析報告</w:t>
      </w:r>
    </w:p>
    <w:p>
      <w:pPr>
        <w:spacing w:before="280"/>
        <w:jc w:val="center"/>
      </w:pPr>
      <w:r>
        <w:rPr>
          <w:rFonts w:ascii="Microsoft JhengHei" w:hAnsi="Microsoft JhengHei" w:eastAsia="Microsoft JhengHei"/>
          <w:color w:val="147D83"/>
          <w:sz w:val="30"/>
        </w:rPr>
        <w:t>以雙人評分、證據定位及 N/O 控制檢查方法可用性</w:t>
      </w:r>
    </w:p>
    <w:p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3D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47D83"/>
                <w:sz w:val="21"/>
              </w:rPr>
              <w:t>全篇資料性質｜</w:t>
            </w:r>
            <w:r>
              <w:rPr>
                <w:rFonts w:ascii="Microsoft JhengHei" w:hAnsi="Microsoft JhengHei" w:eastAsia="Microsoft JhengHei"/>
                <w:sz w:val="21"/>
              </w:rPr>
              <w:t>本報告所有情境、評分者、日期、評分、來源代碼、角色與行動均為 SAMPLE／SYNTHETIC。沒有使用原始點協會實績，沒有任何實際核准、會議決議、第三方查證或正式方法採用。</w:t>
            </w:r>
          </w:p>
        </w:tc>
      </w:tr>
    </w:tbl>
    <w:p>
      <w:r/>
    </w:p>
    <w:p>
      <w:pPr>
        <w:jc w:val="center"/>
      </w:pPr>
      <w:r>
        <w:t>本報告用途：檢視職能分析與運用方法是否可重現、可追溯，並把修正事項連結到負責角色與完成期限。</w:t>
      </w:r>
    </w:p>
    <w:p>
      <w:pPr>
        <w:jc w:val="center"/>
      </w:pPr>
      <w:r>
        <w:t>示範案例（全篇 SAMPLE／合成資料）：活動器材借用與歸還紀錄整理。</w:t>
      </w:r>
    </w:p>
    <w:p>
      <w:pPr>
        <w:jc w:val="center"/>
      </w:pPr>
      <w:r>
        <w:t>方法版本比較日期：2026-05-04（v0）與 2026-05-18（v1）；均為合成日期。</w:t>
      </w:r>
    </w:p>
    <w:p>
      <w:pPr>
        <w:jc w:val="center"/>
      </w:pPr>
      <w:r>
        <w:t>適用方式：供訓練行政人員依實際資料檢討方法、記錄修正，並使用文末空白表單。</w:t>
      </w:r>
    </w:p>
    <w:p>
      <w:r/>
    </w:p>
    <w:p>
      <w:pPr>
        <w:jc w:val="center"/>
      </w:pPr>
      <w:r>
        <w:t>若要轉為真實紀錄，請先替換本報告所列全部 SAMPLE 事實、取得來源授權，保留原始評分，完成獨立複評，並由有權人員核定。</w:t>
      </w:r>
    </w:p>
    <w:p>
      <w:r>
        <w:br w:type="page"/>
      </w:r>
    </w:p>
    <w:p>
      <w:pPr>
        <w:pStyle w:val="Heading1"/>
      </w:pPr>
      <w:r>
        <w:t>30 秒摘要｜本報告回答什麼問題</w:t>
      </w:r>
    </w:p>
    <w:p>
      <w:r>
        <w:t>本報告檢查職能分析／運用方法本身是否可重複使用、能否留下可追溯證據、遇到無法觀察的項目時是否正確排除分母，以及方法檢討後有哪些具體欄位需要補強。它不是個人職能盤點表，也不是需求調查、課程計畫或真實審查會議紀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檢查指標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v0 合成結果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v1 合成結果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可支持的判讀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雙人完全一致率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19/32＝59.4%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28/32＝87.5%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本示範資料中，兩位評分者對方法可用性級距的相同格數增加。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證據定位完整率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20/32＝62.5%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29/32＝90.6%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完整欄位須同時有來源、版次/日期、頁欄定位及使用權限。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N/O 控制判讀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1/2＝50.0%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2/2＝100.0%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兩個預先設計的無可觀察/不可比情境均被正確排除；每版僅兩例。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評分平均絕對差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13/32＝0.406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4/32＝0.125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兩位評分者差距縮小；不等於方法效度或訓練成效。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3D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47D83"/>
                <w:sz w:val="21"/>
              </w:rPr>
              <w:t>結論範圍｜</w:t>
            </w:r>
            <w:r>
              <w:rPr>
                <w:rFonts w:ascii="Microsoft JhengHei" w:hAnsi="Microsoft JhengHei" w:eastAsia="Microsoft JhengHei"/>
                <w:sz w:val="21"/>
              </w:rPr>
              <w:t>此小型合成演練只能用來診斷欄位與判讀規則是否清楚。即使 v1 達到本報告自訂的 SAMPLE 草案門檻，也只可建議設計一個經授權、留存原始資料的受控小試行；不代表原始點協會已核定、已改善或已取得實績。</w:t>
            </w:r>
          </w:p>
        </w:tc>
      </w:tr>
    </w:tbl>
    <w:p>
      <w:r/>
    </w:p>
    <w:p>
      <w:pPr>
        <w:pStyle w:val="Heading2"/>
      </w:pPr>
      <w:r>
        <w:t>本報告如何使用</w:t>
      </w:r>
    </w:p>
    <w:p>
      <w:pPr>
        <w:pStyle w:val="ListBullet"/>
      </w:pPr>
      <w:r>
        <w:t>先看第 2–4 節，確認 官方要求、範圍、樣本與版本差異。</w:t>
      </w:r>
    </w:p>
    <w:p>
      <w:pPr>
        <w:pStyle w:val="ListBullet"/>
      </w:pPr>
      <w:r>
        <w:t>用第 5–8 節逐格核算方法可用性評分、定位與 N/O 判讀；每版32格包含情境三/情境七方法壓力測試，二元N/O處理正確率另以2件計。這些評分不是學員能力分數。</w:t>
      </w:r>
    </w:p>
    <w:p>
      <w:pPr>
        <w:pStyle w:val="ListBullet"/>
      </w:pPr>
      <w:r>
        <w:t>將第 10 節空白表複製到受控工作檔，連同原始來源、授權、版本、覆核簽核欄一起保存。</w:t>
      </w:r>
    </w:p>
    <w:p>
      <w:pPr>
        <w:pStyle w:val="ListBullet"/>
      </w:pPr>
      <w:r>
        <w:t>本報告中的演練資料均為合成內容，不能作為協會原始證據。正式使用前，逐筆核對真實來源、取得使用權限，並由另一位工作人員覆核。</w:t>
      </w:r>
    </w:p>
    <w:p>
      <w:pPr>
        <w:pStyle w:val="Heading1"/>
      </w:pPr>
      <w:r>
        <w:t>1｜官方要求、文類與邊界</w:t>
      </w:r>
    </w:p>
    <w:p>
      <w:pPr>
        <w:pStyle w:val="Heading2"/>
      </w:pPr>
      <w:r>
        <w:t>1.1 正式要求定位</w:t>
      </w:r>
    </w:p>
    <w:p>
      <w:r>
        <w:t>訓練機構版官方要求指出：「對相關職能分析及運用的方法均能適時檢討隨時改進。」本報告示範如何檢查方法版本、評分規則、來源定位與缺件處理。</w:t>
      </w:r>
    </w:p>
    <w:p>
      <w:r>
        <w:t>本報告以「方法本身如何檢討及改進」為命題：版本差異 → 成對評分 → 證據追溯與 N/O 控制 → 缺口排序 → 方法修正與後續追蹤。逐頁/欄、來源版本及實際使用權限是定位完整的必要欄位。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容易混淆的工作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各自處理的內容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本報告的界線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訓練需求調查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整理學習者或服務對象的需求與訓練需求。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本報告檢查職能分析與運用方法是否清楚、可重做。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個別職能盤點與課程規劃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由工作樣本辨認個別能力差距，再規劃課程。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本報告不代替個別學員盤點，也不共用其評分案例。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本報告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檢查職能分析與運用方法的版本、量尺、資料定位及改進。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不代替需求調查、學員評量或課程設計流程。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課程設計流程與進度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安排課程設計步驟、時程及應完成的規劃資料。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本報告不代替課程設計進度表或課程計畫。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6F3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47D83"/>
                <w:sz w:val="21"/>
              </w:rPr>
              <w:t>辨識測試｜</w:t>
            </w:r>
            <w:r>
              <w:rPr>
                <w:rFonts w:ascii="Microsoft JhengHei" w:hAnsi="Microsoft JhengHei" w:eastAsia="Microsoft JhengHei"/>
                <w:sz w:val="21"/>
              </w:rPr>
              <w:t>遮住本報告標題後，仍可由雙人方法評分、版本前後差、來源定位 完整度、N/O 分母規則和方法改進追蹤辨認用途。若正文只剩需求調查、個人盤點或課程規劃，便是錯件。</w:t>
            </w:r>
          </w:p>
        </w:tc>
      </w:tr>
    </w:tbl>
    <w:p>
      <w:r/>
    </w:p>
    <w:p>
      <w:pPr>
        <w:pStyle w:val="Heading1"/>
      </w:pPr>
      <w:r>
        <w:t>2｜決策問題、範圍與資料治理</w:t>
      </w:r>
    </w:p>
    <w:p>
      <w:pPr>
        <w:pStyle w:val="Heading2"/>
      </w:pPr>
      <w:r>
        <w:t>2.1 需要回答的決策問題</w:t>
      </w:r>
    </w:p>
    <w:p>
      <w:pPr>
        <w:pStyle w:val="ListBullet"/>
      </w:pPr>
      <w:r>
        <w:t>不同評分者能否依同一套定義，對相同方法資料給出可比較的 1–4 級判讀？</w:t>
      </w:r>
    </w:p>
    <w:p>
      <w:pPr>
        <w:pStyle w:val="ListBullet"/>
      </w:pPr>
      <w:r>
        <w:t>每一格判讀能否追溯到可使用的來源、確切版次/日期及頁/欄？</w:t>
      </w:r>
    </w:p>
    <w:p>
      <w:pPr>
        <w:pStyle w:val="ListBullet"/>
      </w:pPr>
      <w:r>
        <w:t>沒有同難度可比樣本或沒有觀察機會時，是否按規則標示 N/O、排除分母並安排補證？</w:t>
      </w:r>
    </w:p>
    <w:p>
      <w:pPr>
        <w:pStyle w:val="ListBullet"/>
      </w:pPr>
      <w:r>
        <w:t>方法表單及說明改版後，哪些維度仍有缺口，應由誰在何時提出何種修正？</w:t>
      </w:r>
    </w:p>
    <w:p>
      <w:pPr>
        <w:pStyle w:val="ListBullet"/>
      </w:pPr>
      <w:r>
        <w:t>現有示範結果是否足以支持下一個有限步驟？答案最多是「可提議受控小試行」，不是正式採用或成效認證。</w:t>
      </w:r>
    </w:p>
    <w:p>
      <w:pPr>
        <w:pStyle w:val="Heading2"/>
      </w:pPr>
      <w:r>
        <w:t>2.2 合成資料來源字典與納入規則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資料類別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本示範的內容／數量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納入與排除口徑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來源／權限狀態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情境包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情境一 至 情境八，共 8 包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八包均納入；不含真人、學員或協會個案。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SAMPLE；合成情境，無外部來源權利主張。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評分者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評分者甲、B，共 2 人代碼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同兩位示範角色在 v0、v1 重評。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SYNTHETIC 角色；不代表任何真實職員。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評分格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8 包 × 4 維度 × 2 評分者 × 2 版本，共 128 筆級距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每版 32 個配對格；只有 A/B 兩人對同一情境/維度的評分可成對。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合成評分；不是學員成績。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定位旗標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每版 8 × 4＝32 格，共 64 旗標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完整須同時具來源 ID、版次/日期、精確頁欄及使用權限。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合成完整度檢查；旗標 1/0 不等於真實證據存在。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N/O 控制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情境三 與 情境七，共 2 件；每版各判一次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情境三/情境七的A/B方法可用性評分納入每版32格；N/O處理正確性另以每版2題計。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刻意設計的控制題，不是實際缺失紀錄。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方法版本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v0：2026-05-04；v1：2026-05-18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同情境、同評分者、前後重評；間隔 14 日。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合成日期；兩輪熟悉效應不可排除。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t>2.3 明確不納入的證據與推論</w:t>
      </w:r>
    </w:p>
    <w:p>
      <w:pPr>
        <w:pStyle w:val="ListBullet"/>
      </w:pPr>
      <w:r>
        <w:t>不推論職能標準已有效、不推論學員已學會，也不推論協會訓練績效或評核結果。</w:t>
      </w:r>
    </w:p>
    <w:p>
      <w:pPr>
        <w:pStyle w:val="ListBullet"/>
      </w:pPr>
      <w:r>
        <w:t>不把評分一致性當成準確性；兩人可能一致地使用錯誤標準。</w:t>
      </w:r>
    </w:p>
    <w:p>
      <w:pPr>
        <w:pStyle w:val="ListBullet"/>
      </w:pPr>
      <w:r>
        <w:t>不對 8 個便利情境做母群推論、顯著性檢定或因果分析。</w:t>
      </w:r>
    </w:p>
    <w:p>
      <w:pPr>
        <w:pStyle w:val="ListBullet"/>
      </w:pPr>
      <w:r>
        <w:t>本報告的器材借還情境是獨立編寫的合成示例，與需求調查中的示例沒有共用資料；正式使用時，各作業依真實來源分開建檔。</w:t>
      </w:r>
    </w:p>
    <w:p>
      <w:pPr>
        <w:pStyle w:val="Heading1"/>
      </w:pPr>
      <w:r>
        <w:t>3｜v0 到 v1 的方法設計差異</w:t>
      </w:r>
    </w:p>
    <w:p>
      <w:r>
        <w:t>以下是本合成演練內的假設版本差異，用以示範如何把問題寫成可稽核欄位；不能解讀為原始點協會曾在該日期實際使用或改版某份方法。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方法面向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v0（合成測試設定）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v1（合成修正版設定）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預期可檢查的結果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D1 來源鏈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來源類型及角色描述不固定，容易漏掉來源版次。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每格要求標準/任務來源 ID、版次/日期、適用角色及任務。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來源鏈可定位；不代表來源正確或已授權。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D2 行為錨點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級距描述偏概括，對可觀察行為與界線解讀不一。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每級補可觀察錨點、門檻說明及一組邊界例。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兩人對同格的級距可能更接近；需真實外部複評。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D3 可比證據/定位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未強制標出樣本難度、頁欄、版次與使用權限。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增加樣本可比性、版本、頁/欄、權限欄；缺欄不算完整。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定位率可核算；有欄位不代表來源內容有效。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D4 N/O與分母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N/O原因、排除、補樣本與覆核時間未串在同一格。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明列 N/O 理由、排除分母、待補資料、責任角色及覆核期限。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能測試是否誤記 0 分或把不可觀察格塞入分母。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t>3.1 1–4 級「方法可用性」量規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級距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判讀錨點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退件/修正提示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1｜不可操作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找不到可辨識來源或標準；任務/角色不明；評分無可觀察依據；必要欄位缺漏且沒有補件安排。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不得以此格作為個人能力結論；補來源、任務和觀察規則後重評。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2｜部分可用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來源或行為錨點存在，但一個以上關鍵欄位不足；不同評分者可能用不同證據/分母。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指定缺欄與責任人；完成同難度樣本及分母說明後再評。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3｜可用但需控制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來源、錨點、同難度證據及 來源定位 大致齊備；少數例外仍需要覆核或 N/O 規則提醒。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可進內部演練；不得把單次結果升格為正式採用。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4｜可重複檢查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定義完整、可觀察、同難度比較可說明、來源定位 及權限完整，N/O/排除/補證/期限可重算。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僅表示方法設計可重複檢查；仍須真實授權、效度證據與人類核定。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3D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47D83"/>
                <w:sz w:val="21"/>
              </w:rPr>
              <w:t>分數的含義｜</w:t>
            </w:r>
            <w:r>
              <w:rPr>
                <w:rFonts w:ascii="Microsoft JhengHei" w:hAnsi="Microsoft JhengHei" w:eastAsia="Microsoft JhengHei"/>
                <w:sz w:val="21"/>
              </w:rPr>
              <w:t>1–4 是「方法可用性」示範級距，不是個人職能等級，不與學員合格分數混用。缺乏可觀察資料時要走 N/O 控制規則，不能把缺資料當 1 分或 0 分。</w:t>
            </w:r>
          </w:p>
        </w:tc>
      </w:tr>
    </w:tbl>
    <w:p>
      <w:r/>
    </w:p>
    <w:p>
      <w:pPr>
        <w:pStyle w:val="Heading1"/>
      </w:pPr>
      <w:r>
        <w:t>4｜合成情境包與執行程序</w:t>
      </w:r>
    </w:p>
    <w:p>
      <w:r>
        <w:t>案例範圍僅為小型志工協會處理「活動器材借用與歸還紀錄整理」任務時，方法是否能要求來源、行為錨點、版本定位及不可觀察控制。以下八個包是刻意設計的資料品質情境，不是協會實際發生的事件。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情境包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合成情境描述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設計用途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證據性質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情境一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需求描述缺少任務來源與版次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一般方法檢核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無真人或正式紀錄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情境二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同一任務在不同版本出現欄位差異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一般方法檢核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無真人或正式紀錄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情境三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沒有可比對的同難度樣本（N/O控制情境）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N/O 控制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無真人或正式紀錄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情境四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證據位於多份工作紀錄且頁欄定位不一致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一般方法檢核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無真人或正式紀錄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情境五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任務步驟完整但例外處理未出現在樣本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一般方法檢核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無真人或正式紀錄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情境六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樣本可用但計分分母與排除條件待核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一般方法檢核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無真人或正式紀錄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情境七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沒有安排可觀察時點（N/O控制情境）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N/O 控制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無真人或正式紀錄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情境八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來源更新但評量表仍引用舊版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一般方法檢核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無真人或正式紀錄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t>4.1 兩輪檢核的標準作業步驟</w:t>
      </w:r>
    </w:p>
    <w:p>
      <w:pPr>
        <w:pStyle w:val="ListBullet"/>
      </w:pPr>
      <w:r>
        <w:t>方法保管角色先凍結四維量規、欄位定義及可使用來源，給兩位示範評分者相同版本。</w:t>
      </w:r>
    </w:p>
    <w:p>
      <w:pPr>
        <w:pStyle w:val="ListBullet"/>
      </w:pPr>
      <w:r>
        <w:t>兩位評分者各自獨立讀取八個合成情境包，按 D1–D4 評 1–4 級，並各自記錄 來源定位 完整旗標；不先協商答案。</w:t>
      </w:r>
    </w:p>
    <w:p>
      <w:pPr>
        <w:pStyle w:val="ListBullet"/>
      </w:pPr>
      <w:r>
        <w:t>記錄每格是否同分、絕對差、來源 ID、版次/日期、頁欄與權限。情境三、情境七的A/B方法可用性評分仍計入每版32格；N/O處理正確性另以兩個控制案例為分母，不是學員能力分數。</w:t>
      </w:r>
    </w:p>
    <w:p>
      <w:pPr>
        <w:pStyle w:val="ListBullet"/>
      </w:pPr>
      <w:r>
        <w:t>在 v0 評分後，依可觀察到的缺欄假設提出 v1 欄位修正；此設計步驟本身是合成演練設定。</w:t>
      </w:r>
    </w:p>
    <w:p>
      <w:pPr>
        <w:pStyle w:val="ListBullet"/>
      </w:pPr>
      <w:r>
        <w:t>14 日後對同一八包、同兩人再評 v1。由於情境/評分者重複，必須把熟悉效應列為限制。</w:t>
      </w:r>
    </w:p>
    <w:p>
      <w:pPr>
        <w:pStyle w:val="ListBullet"/>
      </w:pPr>
      <w:r>
        <w:t>計算指標、列出不確定性和待補來源；不得讓撰稿者自行把結果稱為正式決議或已核定方法。</w:t>
      </w:r>
    </w:p>
    <w:p>
      <w:pPr>
        <w:pStyle w:val="Heading1"/>
      </w:pPr>
      <w:r>
        <w:t>5｜原始成對評分資料（可逐格重算）</w:t>
      </w:r>
    </w:p>
    <w:p>
      <w:r>
        <w:t>每個四元向量的順序固定為 D1、D2、D3、D4；每格列 A/B 兩位示範評分者的級距。共 8 情境 × 4 維度＝32 配對格/版本。此處展示全部 128 個評分值，沒有只列平均數。</w:t>
      </w:r>
    </w:p>
    <w:p>
      <w:pPr>
        <w:sectPr>
          <w:headerReference w:type="default" r:id="rId9"/>
          <w:footerReference w:type="default" r:id="rId10"/>
          <w:headerReference w:type="first" r:id="rId17"/>
          <w:footerReference w:type="first" r:id="rId18"/>
          <w:headerReference w:type="even" r:id="rId19"/>
          <w:footerReference w:type="even" r:id="rId20"/>
          <w:pgSz w:w="12240" w:h="15840"/>
          <w:pgMar w:top="979" w:right="1123" w:bottom="936" w:left="1123" w:header="461" w:footer="461" w:gutter="0"/>
          <w:cols w:space="720"/>
          <w:docGrid w:linePitch="360"/>
        </w:sectPr>
      </w:pPr>
    </w:p>
    <w:p>
      <w:pPr>
        <w:pStyle w:val="Heading1"/>
      </w:pPr>
      <w:r>
        <w:t>5.1 v0 評分原始格｜合成日期 2026-05-04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  <w:gridCol w:w="2606"/>
        <w:gridCol w:w="2606"/>
      </w:tblGrid>
      <w:tr>
        <w:trPr>
          <w:tblHeader w:val="true"/>
          <w:tblHeader w:val="true"/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D1 A/B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D2 A/B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D3 A/B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D4 A/B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記錄說明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情境一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2/1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同一情境、獨立評分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情境二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1/2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同一情境、獨立評分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情境三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同一情境、獨立評分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情境四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2/1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1/2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同一情境、獨立評分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情境五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2/1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2/3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同一情境、獨立評分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情境六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1/2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同一情境、獨立評分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情境七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同一情境、獨立評分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情境八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2/3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同一情境、獨立評分</w:t>
            </w:r>
          </w:p>
        </w:tc>
      </w:tr>
    </w:tbl>
    <w:p>
      <w:pPr>
        <w:spacing w:after="20" w:before="0"/>
      </w:pPr>
    </w:p>
    <w:p>
      <w:r>
        <w:t>讀法：例如 情境一 的 D1 為 2/2，計 1 個完全一致格；情境一 的 D2 為 2/3，計 0 個完全一致格、絕對差 1。所有級距均為合成方法可用性評分。</w:t>
      </w:r>
    </w:p>
    <w:p>
      <w:pPr>
        <w:pStyle w:val="Heading1"/>
      </w:pPr>
      <w:r>
        <w:t>5.2 v1 評分原始格｜合成日期 2026-05-18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  <w:gridCol w:w="2606"/>
        <w:gridCol w:w="2606"/>
      </w:tblGrid>
      <w:tr>
        <w:trPr>
          <w:tblHeader w:val="true"/>
          <w:tblHeader w:val="true"/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D1 A/B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D2 A/B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D3 A/B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D4 A/B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記錄說明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情境一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同一情境、獨立重評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情境二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同一情境、獨立重評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情境三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同一情境、獨立重評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情境四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同一情境、獨立重評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情境五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2/3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同一情境、獨立重評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情境六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同一情境、獨立重評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情境七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同一情境、獨立重評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情境八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3/3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同一情境、獨立重評</w:t>
            </w:r>
          </w:p>
        </w:tc>
      </w:tr>
    </w:tbl>
    <w:p>
      <w:pPr>
        <w:spacing w:after="20" w:before="0"/>
      </w:pPr>
    </w:p>
    <w:p>
      <w:r>
        <w:t>重評限制：同兩人、同八包，14 日後再次看到相似資料；未採盲測新樣本，可能因熟悉而接近。</w:t>
      </w:r>
    </w:p>
    <w:p>
      <w:pPr>
        <w:pStyle w:val="Heading2"/>
      </w:pPr>
      <w:r>
        <w:t>5.3 評分差異重算規則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09"/>
        <w:gridCol w:w="3909"/>
        <w:gridCol w:w="3909"/>
        <w:gridCol w:w="390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運算項目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逐格規則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v0 重算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v1 重算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完全一致格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A 值 = B 值時計 1。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19 格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28 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絕對差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每格 |A−B|，再加總。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13 級距點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4 級距點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最大差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max(|A−B|)。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維度一致率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該維度同分格 ÷ 8。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逐維度見第 7 節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逐維度見第 7 節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1"/>
          <w:footerReference w:type="default" r:id="rId12"/>
          <w:pgSz w:w="16848" w:h="11952" w:orient="landscape"/>
          <w:pgMar w:top="749" w:right="605" w:bottom="720" w:left="605" w:header="461" w:footer="461" w:gutter="0"/>
          <w:cols w:space="720"/>
          <w:docGrid w:linePitch="360"/>
        </w:sectPr>
      </w:pPr>
    </w:p>
    <w:p>
      <w:pPr>
        <w:pStyle w:val="Heading1"/>
      </w:pPr>
      <w:r>
        <w:t>6｜證據定位與 N/O 控制原始資料</w:t>
      </w:r>
    </w:p>
    <w:p>
      <w:pPr>
        <w:pStyle w:val="Heading2"/>
      </w:pPr>
      <w:r>
        <w:t>6.1 來源定位 完整旗標</w:t>
      </w:r>
    </w:p>
    <w:p>
      <w:r>
        <w:t>1 表示該格同時具備來源 ID、版次/日期、精確頁/欄、使用權限四項；任一缺漏即為 0。這是完整性旗標，不替來源內容背書。列內順序仍是 D1–D4。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v0 D1/D2/D3/D4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v1 D1/D2/D3/D4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情境一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1/1/0/0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1/1/1/1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一般情境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情境二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1/1/0/0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1/1/1/1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一般情境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情境三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1/0/1/0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1/1/1/0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情境三/情境七 為 N/O 控制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情境四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1/1/1/0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1/1/1/1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一般情境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情境五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1/1/1/0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1/1/1/1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一般情境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情境六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1/0/1/0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1/0/1/1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一般情境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情境七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1/1/0/1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1/1/1/1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情境三/情境七 為 N/O 控制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情境八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1/1/1/0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1/1/0/1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一般情境</w:t>
            </w:r>
          </w:p>
        </w:tc>
      </w:tr>
    </w:tbl>
    <w:p>
      <w:pPr>
        <w:spacing w:after="20" w:before="0"/>
      </w:pPr>
    </w:p>
    <w:p>
      <w:r>
        <w:t>v0 完整旗標：20/32 = 62.5%。v1 完整旗標：29/32 = 90.6%。完整格的判定四項缺一不可；即使旗標是 1，也仍需由真實使用者查原件及授權。</w:t>
      </w:r>
    </w:p>
    <w:p>
      <w:pPr>
        <w:pStyle w:val="Heading2"/>
      </w:pPr>
      <w:r>
        <w:t>6.2 N/O 兩個預設控制情境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1"/>
        <w:gridCol w:w="1941"/>
        <w:gridCol w:w="1941"/>
        <w:gridCol w:w="1941"/>
        <w:gridCol w:w="1941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預設問題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v0 判讀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v1 判讀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正確口徑／後續補證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情境三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無同難度可比樣本。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標N/O，不列入受評者能力分母；本控制判讀正確。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標N/O，不列入受評者能力分母；正確。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不把缺資料記為學員0分；情境三方法評分仍列入32格，N/O正確性另按2題計；補取同難度樣本或記理由及覆核日。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情境七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沒有安排可觀察時點。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未標N/O；本控制判讀錯誤。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標N/O，不列入受評者能力分母；正確。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不把未觀察當學員低分；情境七方法評分仍列入32格，N/O正確性另按2題計；安排觀察時點、責任與期限後再判讀。</w:t>
            </w:r>
          </w:p>
        </w:tc>
      </w:tr>
    </w:tbl>
    <w:p>
      <w:pPr>
        <w:spacing w:after="20" w:before="0"/>
      </w:pPr>
    </w:p>
    <w:p>
      <w:r>
        <w:t>v0 N/O處理正確 1/2＝50%；v1為2/2＝100%。此二元指標的分母是兩個控制案例。另有32格A/B方法可用性配對評分，包含情境三/情境七壓力測試；這些評分不是學員能力分數。兩例全對仍不足以證明真實作業中的N/O規則可靠。</w:t>
      </w:r>
    </w:p>
    <w:p>
      <w:pPr>
        <w:pStyle w:val="Heading1"/>
      </w:pPr>
      <w:r>
        <w:t>7｜計算結果、分維度差異與圖形</w:t>
      </w:r>
    </w:p>
    <w:p>
      <w:pPr>
        <w:pStyle w:val="Heading2"/>
      </w:pPr>
      <w:r>
        <w:t>7.1 指標定義與完整分母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1"/>
        <w:gridCol w:w="1941"/>
        <w:gridCol w:w="1941"/>
        <w:gridCol w:w="1941"/>
        <w:gridCol w:w="1941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v0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v1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解釋界線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完全一致率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A=B 的配對格數 ÷ 32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19/32＝59.4%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28/32＝87.5%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描述本批配對評分；不是效度或正式一致性係數。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平均絕對差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Σ|A−B| ÷ 32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13/32＝0.406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4/32＝0.125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級距差距的描述均值；無推論統計。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來源定位 完整率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四欄俱全格數 ÷ 32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20/32＝62.5%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29/32＝90.6%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每格必含來源、版次/日期、頁欄、權限。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N/O 正確率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正確排除之 N/O 案例 ÷ 2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1/2＝50.0%</w:t>
            </w:r>
          </w:p>
        </w:tc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2/2＝100.0%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分母是兩個設計控制案例；樣本極小。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t>7.2 維度結果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維度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v0 完全一致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v1 完全一致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v0 絕對差合計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v1 絕對差合計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D1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標準／角色／任務來源鏈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8/8 = 100.0%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8/8 = 100.0%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0/8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0/8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D2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可觀察行為錨點與級距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5/8 = 62.5%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6/8 = 75.0%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3/8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2/8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D3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同難度證據、版次及精確定位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4/8 = 50.0%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7/8 = 87.5%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4/8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1/8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D4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N/O排除分母、補取樣本與覆核期限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2/8 = 25.0%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7/8 = 87.5%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6/8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1/8</w:t>
            </w:r>
          </w:p>
        </w:tc>
      </w:tr>
    </w:tbl>
    <w:p>
      <w:pPr>
        <w:spacing w:after="20" w:before="0"/>
      </w:pPr>
    </w:p>
    <w:p>
      <w:pPr>
        <w:pStyle w:val="Heading3"/>
      </w:pPr>
      <w:r>
        <w:t>7.2a 分維度證據定位完整度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維度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v0 定位完整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v1 定位完整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D1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標準／角色／任務來源鏈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8/8 = 100.0%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8/8 = 100.0%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D2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可觀察行為錨點與級距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6/8 = 75.0%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7/8 = 87.5%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D3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同難度證據、版次及精確定位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5/8 = 62.5%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7/8 = 87.5%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D4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N/O排除分母、補取樣本與覆核期限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1/8 = 12.5%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7/8 = 87.5%</w:t>
            </w:r>
          </w:p>
        </w:tc>
      </w:tr>
    </w:tbl>
    <w:p>
      <w:pPr>
        <w:spacing w:after="20" w:before="0"/>
      </w:pPr>
    </w:p>
    <w:p>
      <w:r>
        <w:t>逐維度結果由第 5 節完整矩陣直接計算；各列分母都是 8。總計一致格為各維度分子加總：v0 [8, 5, 4, 2] → 19/32；v1 [8, 6, 7, 7] → 28/32。</w:t>
      </w:r>
    </w:p>
    <w:p>
      <w:pPr>
        <w:pStyle w:val="Heading2"/>
      </w:pPr>
      <w:r>
        <w:t>7.3 職能落差與達標率｜合成方法輸出示例</w:t>
      </w:r>
    </w:p>
    <w:p>
      <w:pPr>
        <w:keepLines/>
      </w:pPr>
      <w:r>
        <w:t>本報告另以同一合成器材借還情境，示範方法如何輸出「職能落差＝目標等級－現況等級」及「達標率＝達標項目數／有效評估項目數」。這四個要素是方法輸出示例，與前述 8×4 方法評分矩陣用途不同；所有數值仍為合成示例。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合成任務要素</w:t>
            </w:r>
          </w:p>
        </w:tc>
        <w:tc>
          <w:tcPr>
            <w:tcW w:type="dxa" w:w="7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</w:t>
            </w:r>
          </w:p>
        </w:tc>
        <w:tc>
          <w:tcPr>
            <w:tcW w:type="dxa" w:w="7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現況</w:t>
            </w:r>
          </w:p>
        </w:tc>
        <w:tc>
          <w:tcPr>
            <w:tcW w:type="dxa" w:w="7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落差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方法輸出判讀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K01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確認借用與歸還紀錄的標準來源及版次</w:t>
            </w:r>
          </w:p>
        </w:tc>
        <w:tc>
          <w:tcPr>
            <w:tcW w:type="dxa" w:w="7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</w:t>
            </w:r>
          </w:p>
        </w:tc>
        <w:tc>
          <w:tcPr>
            <w:tcW w:type="dxa" w:w="7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</w:t>
            </w:r>
          </w:p>
        </w:tc>
        <w:tc>
          <w:tcPr>
            <w:tcW w:type="dxa" w:w="7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+1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低於目標；先核來源與觀察，僅列待查訊號。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K02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核對器材名稱、數量與借出欄位</w:t>
            </w:r>
          </w:p>
        </w:tc>
        <w:tc>
          <w:tcPr>
            <w:tcW w:type="dxa" w:w="7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</w:t>
            </w:r>
          </w:p>
        </w:tc>
        <w:tc>
          <w:tcPr>
            <w:tcW w:type="dxa" w:w="7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</w:t>
            </w:r>
          </w:p>
        </w:tc>
        <w:tc>
          <w:tcPr>
            <w:tcW w:type="dxa" w:w="7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0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達標；本例不列正差距。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K03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登錄歸還狀況、異常與頁欄定位</w:t>
            </w:r>
          </w:p>
        </w:tc>
        <w:tc>
          <w:tcPr>
            <w:tcW w:type="dxa" w:w="7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</w:t>
            </w:r>
          </w:p>
        </w:tc>
        <w:tc>
          <w:tcPr>
            <w:tcW w:type="dxa" w:w="7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</w:t>
            </w:r>
          </w:p>
        </w:tc>
        <w:tc>
          <w:tcPr>
            <w:tcW w:type="dxa" w:w="7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+1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低於目標；先確認證據與可訓練性。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K04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遇無可比資料時標 N/O 並排除分母</w:t>
            </w:r>
          </w:p>
        </w:tc>
        <w:tc>
          <w:tcPr>
            <w:tcW w:type="dxa" w:w="7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</w:t>
            </w:r>
          </w:p>
        </w:tc>
        <w:tc>
          <w:tcPr>
            <w:tcW w:type="dxa" w:w="7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3</w:t>
            </w:r>
          </w:p>
        </w:tc>
        <w:tc>
          <w:tcPr>
            <w:tcW w:type="dxa" w:w="74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−1</w:t>
            </w:r>
          </w:p>
        </w:tc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達標且高於目標 1 級。</w:t>
            </w:r>
          </w:p>
        </w:tc>
      </w:tr>
    </w:tbl>
    <w:p>
      <w:pPr>
        <w:spacing w:after="20" w:before="0"/>
      </w:pPr>
    </w:p>
    <w:p>
      <w:r>
        <w:t>逐列：K01 3−2=+1；K02 3−3=0；K03 3−2=+1；K04 2−3=−1。落差為正代表此合成輸出低於目標，不等於已證實個人能力不足。達標定義為現況≥目標；分子為 K02、K04 共 2 個，分母為本例 4 個已評估要素，達標率 = 2/4 = 50.0%（百分比四捨五入至小數一位）。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E6F3F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N/O 與需求邊界｜本四項計算示例沒有 N/O 要素；若項目不可觀察，應另列 N/O 並排除適用分母。情境三/情境七 是前述方法檢核的兩個 N/O 控制題，不能混進本例四項達標率。只有在真實標準、觀察證據、角色/版本及可訓練性均核實後，正差距才可作為後續需求分析的待查訊號；本報告不替個人下結論、不決定課程或宣稱改善。</w:t>
            </w:r>
          </w:p>
        </w:tc>
      </w:tr>
    </w:tbl>
    <w:p>
      <w:r/>
    </w:p>
    <w:p>
      <w:pPr>
        <w:pStyle w:val="Heading2"/>
      </w:pPr>
      <w:r>
        <w:t>7.4 指標圖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141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5_chart_overall_synthet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41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871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5_chart_dimension_syntheti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71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圖形繪自上列 8×4 原始評分、來源定位 旗標及 2 個 N/O 控制題；圖表的百分比保留一位小數。查看分子/分母時以表格和原始格為準。</w:t>
      </w:r>
    </w:p>
    <w:p>
      <w:pPr>
        <w:pStyle w:val="Heading2"/>
      </w:pPr>
      <w:r>
        <w:t>7.5 SAMPLE 草案門檻（非官方標準）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示範門檻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v1 是否達到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可做的有限判斷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不得延伸的主張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完全一致率 ≥80%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28/32＝87.5%，達到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可提案進入經授權、限定範圍的真實小試行。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不能稱作有效、正式核定或全組織一致。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來源定位 完整率 ≥90%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29/32＝90.6%，達到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仍須逐項查驗來源真實性、版次與權限。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旗標達標不等於原件存在或可對外使用。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N/O 控制 2/2 正確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2/2＝100%，達到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可把 N/O 欄位帶入受控測試。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兩個控制題不能證明實際場域錯誤率為零。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FFF3D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47D83"/>
                <w:sz w:val="21"/>
              </w:rPr>
              <w:t>門檻聲明｜</w:t>
            </w:r>
            <w:r>
              <w:rPr>
                <w:rFonts w:ascii="Microsoft JhengHei" w:hAnsi="Microsoft JhengHei" w:eastAsia="Microsoft JhengHei"/>
                <w:sz w:val="21"/>
              </w:rPr>
              <w:t>上述 80%/90%/2-of-2 是本示範的 SAMPLE 草案門檻，沒有官方背書、沒有協會核定。真實試行前須確認合法來源、樣本選取、風險、審查人權責與停止條件。</w:t>
            </w:r>
          </w:p>
        </w:tc>
      </w:tr>
    </w:tbl>
    <w:p>
      <w:r/>
    </w:p>
    <w:p>
      <w:pPr>
        <w:pStyle w:val="Heading1"/>
      </w:pPr>
      <w:r>
        <w:t>8｜發現、證據強度、原因假設與限制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發現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資料支持到哪裡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可能原因（假設）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證據強度與限制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雙人完全一致格由 19/32 增至 28/32。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四維原始格可逐格復算；v0/v1最大差均為 1。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v1 增加行為錨點與邊界例，可能減少解讀差異。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合成小樣本、同兩人重評；只支持此演練中的描述。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來源定位 完整由 20/32 增至 29/32。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64 個合成旗標明列；四欄定義固定。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v1 將來源版次、頁欄及權限設為必填。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旗標不是來源品質審查；沒有真實原件可查。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N/O 判讀由 1/2 增至 2/2。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情境三、情境七 的逐例判讀可對照。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v1 明列排除分母、補證與期限。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只有兩個預設題；不能估真實誤判率。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前後變化不能作因果結論。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同情境、同評分者；間隔 14 日。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熟悉、記憶、練習或情境提示均可能影響。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未盲測、未換評分者、未加入外部效標或獨立真實複評。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目前無法宣稱協會正式方法已改善。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所有記錄與日期都是 SAMPLE/SYNTHETIC。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正式來源、授權與核定程序都未提供。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不存在真實資料；不得用本文替代原始決議或外部證明。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t>8.1 結論</w:t>
      </w:r>
    </w:p>
    <w:p>
      <w:r>
        <w:t>在這批合成材料內，v1 的雙人完全一致率、來源定位 完整率與兩項 N/O 控制表現均高於 v0；同時，平均絕對差下降。這只顯示本示範方法欄位設計具有進一步受控測試的可操作性。沒有真實組織資料、外部效標、不同評分者樣本或正式核定，因此不能認定方法有效、訓練成效提高、職能缺口改善或協會已採用。</w:t>
      </w:r>
    </w:p>
    <w:p>
      <w:pPr>
        <w:pStyle w:val="Heading1"/>
      </w:pPr>
      <w:r>
        <w:t>9｜方法改進建議與追蹤（皆為 SAMPLE 建議，未執行）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7"/>
        <w:gridCol w:w="1387"/>
        <w:gridCol w:w="1387"/>
        <w:gridCol w:w="1387"/>
        <w:gridCol w:w="1387"/>
        <w:gridCol w:w="1387"/>
        <w:gridCol w:w="1387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ID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改進主題</w:t>
            </w:r>
          </w:p>
        </w:tc>
        <w:tc>
          <w:tcPr>
            <w:tcW w:type="dxa" w:w="26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可操作步驟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合成責任角色</w:t>
            </w:r>
          </w:p>
        </w:tc>
        <w:tc>
          <w:tcPr>
            <w:tcW w:type="dxa" w:w="92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合成期限</w:t>
            </w:r>
          </w:p>
        </w:tc>
        <w:tc>
          <w:tcPr>
            <w:tcW w:type="dxa" w:w="15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追蹤指標</w:t>
            </w:r>
          </w:p>
        </w:tc>
        <w:tc>
          <w:tcPr>
            <w:tcW w:type="dxa" w:w="11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A1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來源/版次欄</w:t>
            </w:r>
          </w:p>
        </w:tc>
        <w:tc>
          <w:tcPr>
            <w:tcW w:type="dxa" w:w="26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每一方法格固定記標準/任務來源 ID、版次日期、角色、頁欄與權限；缺項即退回補件。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方法負責人</w:t>
            </w:r>
          </w:p>
        </w:tc>
        <w:tc>
          <w:tcPr>
            <w:tcW w:type="dxa" w:w="92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2026-11-06</w:t>
            </w:r>
          </w:p>
        </w:tc>
        <w:tc>
          <w:tcPr>
            <w:tcW w:type="dxa" w:w="15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每格必填率；抽查來源可開啟率</w:t>
            </w:r>
          </w:p>
        </w:tc>
        <w:tc>
          <w:tcPr>
            <w:tcW w:type="dxa" w:w="11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建議；未執行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A2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行為錨點校準</w:t>
            </w:r>
          </w:p>
        </w:tc>
        <w:tc>
          <w:tcPr>
            <w:tcW w:type="dxa" w:w="26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為 D1–D4 各準備一個正例與邊界例；雙人先獨立評，再保存差異說明。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評分者甲</w:t>
            </w:r>
          </w:p>
        </w:tc>
        <w:tc>
          <w:tcPr>
            <w:tcW w:type="dxa" w:w="92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2026-11-13</w:t>
            </w:r>
          </w:p>
        </w:tc>
        <w:tc>
          <w:tcPr>
            <w:tcW w:type="dxa" w:w="15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完全一致率及最大級距差；保留逐格原始值</w:t>
            </w:r>
          </w:p>
        </w:tc>
        <w:tc>
          <w:tcPr>
            <w:tcW w:type="dxa" w:w="11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建議；未執行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A3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可比樣本規則</w:t>
            </w:r>
          </w:p>
        </w:tc>
        <w:tc>
          <w:tcPr>
            <w:tcW w:type="dxa" w:w="26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在評分前記錄任務難度、版本和樣本選取理由；不同難度不可直接配對。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資料核對者</w:t>
            </w:r>
          </w:p>
        </w:tc>
        <w:tc>
          <w:tcPr>
            <w:tcW w:type="dxa" w:w="92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2026-11-13</w:t>
            </w:r>
          </w:p>
        </w:tc>
        <w:tc>
          <w:tcPr>
            <w:tcW w:type="dxa" w:w="15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同難度配對欄完整率；例外退件數</w:t>
            </w:r>
          </w:p>
        </w:tc>
        <w:tc>
          <w:tcPr>
            <w:tcW w:type="dxa" w:w="11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建議；未執行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A4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N/O與補證流程</w:t>
            </w:r>
          </w:p>
        </w:tc>
        <w:tc>
          <w:tcPr>
            <w:tcW w:type="dxa" w:w="26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N/O 必填原因、排除分母、待補證據、責任角色及覆核日；不得把 N/O 轉成 0。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方法負責人</w:t>
            </w:r>
          </w:p>
        </w:tc>
        <w:tc>
          <w:tcPr>
            <w:tcW w:type="dxa" w:w="92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2026-11-20</w:t>
            </w:r>
          </w:p>
        </w:tc>
        <w:tc>
          <w:tcPr>
            <w:tcW w:type="dxa" w:w="15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N/O案例正確排除率；逾期未補件數</w:t>
            </w:r>
          </w:p>
        </w:tc>
        <w:tc>
          <w:tcPr>
            <w:tcW w:type="dxa" w:w="11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建議；未執行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A5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授權受控小試行</w:t>
            </w:r>
          </w:p>
        </w:tc>
        <w:tc>
          <w:tcPr>
            <w:tcW w:type="dxa" w:w="26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先由有權人員確認合法來源與停止條件，再以新樣本、不同評分者測欄位；不預設正式採用。</w:t>
            </w:r>
          </w:p>
        </w:tc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課程規劃者</w:t>
            </w:r>
          </w:p>
        </w:tc>
        <w:tc>
          <w:tcPr>
            <w:tcW w:type="dxa" w:w="92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2026-11-27</w:t>
            </w:r>
          </w:p>
        </w:tc>
        <w:tc>
          <w:tcPr>
            <w:tcW w:type="dxa" w:w="15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新樣本 來源定位 完整度、覆核差異與停測事件</w:t>
            </w:r>
          </w:p>
        </w:tc>
        <w:tc>
          <w:tcPr>
            <w:tcW w:type="dxa" w:w="11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5"/>
                <w:sz w:val="19"/>
              </w:rPr>
              <w:t>建議；未執行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FFF3D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47D83"/>
                <w:sz w:val="21"/>
              </w:rPr>
              <w:t>狀態及日期｜</w:t>
            </w:r>
            <w:r>
              <w:rPr>
                <w:rFonts w:ascii="Microsoft JhengHei" w:hAnsi="Microsoft JhengHei" w:eastAsia="Microsoft JhengHei"/>
                <w:sz w:val="21"/>
              </w:rPr>
              <w:t>此表責任代碼與日期皆為合成建議，未經指派或執行；正式版由有權者填核定資訊。</w:t>
            </w:r>
          </w:p>
        </w:tc>
      </w:tr>
    </w:tbl>
    <w:p>
      <w:r/>
    </w:p>
    <w:p>
      <w:pPr>
        <w:pStyle w:val="Heading1"/>
      </w:pPr>
      <w:r>
        <w:t>10｜可直接複製的空白方法檢討表</w:t>
      </w:r>
    </w:p>
    <w:p>
      <w:r>
        <w:t>以下空白欄位供行政人員複製到受控工作檔。請保存每位評分者的原始版本；不得只留下彙總百分比。所有真實資料須保留最小必要個資並依組織權限管理。</w:t>
      </w:r>
    </w:p>
    <w:p>
      <w:pPr>
        <w:pStyle w:val="Heading2"/>
      </w:pPr>
      <w:r>
        <w:t>10.1 案例與來源登錄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欄位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正式使用時填寫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作業編號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依據的訓練要求與版本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職能標準、角色或任務來源及版次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原始資料位置與使用權限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樣本範圍、納入/排除及難度配對理由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方法版本、修訂內容及確認依據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評分角色、獨立評分時間與利益衝突檢查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________________________________________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t>10.2 每格評分、定位與 N/O 欄位</w:t>
      </w:r>
    </w:p>
    <w:p>
      <w:r>
        <w:t>以同一情境/任務 ID 將下列兩表逐列對接；保留 A、B 原始評分，不要只登彙總百分比。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blHeader w:val="true"/>
          <w:cantSplit/>
        </w:trPr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樣本編號</w:t>
            </w:r>
          </w:p>
        </w:tc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維度</w:t>
            </w:r>
          </w:p>
        </w:tc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評分者甲</w:t>
            </w:r>
          </w:p>
        </w:tc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評分者乙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同難度依據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不適用原因／分母處理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</w:t>
            </w:r>
          </w:p>
        </w:tc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D__</w:t>
            </w:r>
          </w:p>
        </w:tc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</w:t>
            </w:r>
          </w:p>
        </w:tc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</w:t>
            </w:r>
          </w:p>
        </w:tc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D__</w:t>
            </w:r>
          </w:p>
        </w:tc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</w:t>
            </w:r>
          </w:p>
        </w:tc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______________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______________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</w:t>
            </w:r>
          </w:p>
        </w:tc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D__</w:t>
            </w:r>
          </w:p>
        </w:tc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</w:t>
            </w:r>
          </w:p>
        </w:tc>
        <w:tc>
          <w:tcPr>
            <w:tcW w:type="dxa" w:w="6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</w:t>
            </w:r>
          </w:p>
        </w:tc>
      </w:tr>
    </w:tbl>
    <w:p>
      <w:pPr>
        <w:spacing w:after="2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blHeader w:val="true"/>
          <w:cantSplit/>
        </w:trPr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樣本編號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資料來源／版本</w:t>
            </w:r>
          </w:p>
        </w:tc>
        <w:tc>
          <w:tcPr>
            <w:tcW w:type="dxa" w:w="89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頁／欄位置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使用權限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待補資料／期限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覆核人／結果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</w:t>
            </w:r>
          </w:p>
        </w:tc>
        <w:tc>
          <w:tcPr>
            <w:tcW w:type="dxa" w:w="89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______________</w:t>
            </w:r>
          </w:p>
        </w:tc>
        <w:tc>
          <w:tcPr>
            <w:tcW w:type="dxa" w:w="89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______________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______________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</w:t>
            </w:r>
          </w:p>
        </w:tc>
        <w:tc>
          <w:tcPr>
            <w:tcW w:type="dxa" w:w="89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</w:t>
            </w:r>
          </w:p>
        </w:tc>
        <w:tc>
          <w:tcPr>
            <w:tcW w:type="dxa" w:w="10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t>10.3 退件及重新進件流程</w:t>
      </w:r>
    </w:p>
    <w:p>
      <w:pPr>
        <w:pStyle w:val="ListBullet"/>
      </w:pPr>
      <w:r>
        <w:t>來源缺 ID、版本/日期、頁欄或權限：標「退件－定位不完整」，列缺欄，責任人補件；不得算 來源定位 完整。</w:t>
      </w:r>
    </w:p>
    <w:p>
      <w:pPr>
        <w:pStyle w:val="ListBullet"/>
      </w:pPr>
      <w:r>
        <w:t>樣本不可比：標「N/O－不可比」並排除相應分母，寫明無法比較理由、待補同難度樣本及覆核期限；不得記 0 分。</w:t>
      </w:r>
    </w:p>
    <w:p>
      <w:pPr>
        <w:pStyle w:val="ListBullet"/>
      </w:pPr>
      <w:r>
        <w:t>沒有觀察機會：標「N/O－未觀察」，不得據此判低能力；安排可觀察條件和下一次取證時間。</w:t>
      </w:r>
    </w:p>
    <w:p>
      <w:pPr>
        <w:pStyle w:val="ListBullet"/>
      </w:pPr>
      <w:r>
        <w:t>評分者差異 &gt;1 級或分歧在合格界線：保留 A/B 原值，列出定位與判讀依據，交獨立覆核；禁止以平均數掩蓋差異。</w:t>
      </w:r>
    </w:p>
    <w:p>
      <w:pPr>
        <w:pStyle w:val="ListBullet"/>
      </w:pPr>
      <w:r>
        <w:t>要求正式採用、成效或第三方證明：先查原始核定/授權/原件；缺件維持 UNKNOWN/PENDING，不得以本示範作證。</w:t>
      </w:r>
    </w:p>
    <w:p>
      <w:pPr>
        <w:pStyle w:val="Heading1"/>
      </w:pPr>
      <w:r>
        <w:t>11｜官方要求追溯、事實替換及覆核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  <w:tblHeader w:val="true"/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使用前檢查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正文位置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確認內容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結果／待辦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方法檢討範圍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第3、5–9節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確有比較方法版本、評分、定位、缺件規則及改進事項。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□完成　□待補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資料來源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第2、6、10節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任務來源、版次、頁欄位置及使用權限可以查回。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□完成　□待補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計算重做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第5–7節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評分矩陣、公式、有效分母、職能落差及達標率均可重算。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□完成　□待補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不適用項目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第6、10節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不適用原因已記錄；未把缺件當作零分或納入錯誤分母。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□完成　□待補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後續改進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第8–11節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每項改進有負責角色、期限、追蹤指標及退回條件。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□完成　□待補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資料界線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封面及第1、10節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合成示例與真實資料分開；未填入未核實的協會事實。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□完成　□待補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使用決定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空白工作表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來源、權限或風險未確認時已停止正式使用。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□完成　□待補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t>11.1 SAMPLE 替換與來源紀錄</w:t>
      </w:r>
    </w:p>
    <w:p>
      <w:r>
        <w:t>本報告中的每一項 SAMPLE 都必須在正式使用前，逐筆改以有權取得的真實原始資料核對；記錄來源、頁欄位置、取得日期、使用權限及覆核人。缺少來源或授權時，不得填入推測值或標示為已完成。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使用前確認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應查核的資料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處理方式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職能要求與任務來源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現行工作標準、任務要求、版本及適用對象。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確認來源可開啟且獲准使用；記錄版次與位置。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可觀察工作樣本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原始表單、紀錄或已去識別的任務成果。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按同難度規則選取；不以推測補足缺件。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評分規則與版本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評分錨點、評分者、修訂差異及確認日期。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保留獨立評分；差異超過規則時先覆核。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不適用或缺少資料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不適用原因、排除的分母、待補來源及責任期限。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未補證據前標示待辦，不轉成零分。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權限與保存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告知/授權、資料保管角色、存取範圍及保存/刪除日期。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權限未確認時停止蒐集或評分。</w:t>
            </w:r>
          </w:p>
        </w:tc>
      </w:tr>
    </w:tbl>
    <w:p>
      <w:pPr>
        <w:keepNext w:val="0"/>
        <w:spacing w:after="120" w:before="0"/>
      </w:pPr>
      <w:r>
        <w:t>本報告的空白表供工作人員記錄方法檢討；實際使用前須核對來源、權限及必要決定，未完成前不得當作協會正式紀錄。</w:t>
      </w:r>
    </w:p>
    <w:p>
      <w:r>
        <w:br w:type="page"/>
      </w:r>
    </w:p>
    <w:p>
      <w:pPr>
        <w:pStyle w:val="Heading2"/>
      </w:pPr>
      <w:r>
        <w:t>11.2 獨立版本覆核與正式核定欄</w:t>
      </w:r>
    </w:p>
    <w:p>
      <w:r>
        <w:t>正式使用前，由未參與填寫者按正文檢核表覆核原始來源、樣本定位、分母與缺件處理、計算結果及後續責任；任一項無法回到原始資料，或重算不一致，即退回補正。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實際使用紀錄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填寫內容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使用日期與工作情境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執行人與角色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發現的缺項及原始資料位置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修正內容、負責角色、期限與未解風險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________________________________________</w:t>
            </w:r>
          </w:p>
        </w:tc>
      </w:tr>
    </w:tbl>
    <w:p>
      <w:pPr>
        <w:spacing w:after="2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  <w:cantSplit/>
        </w:trPr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方法使用檢查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確認方式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記錄／後續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任務與來源相符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核對工作要求、樣本版本及適用情境。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評分錨點可觀察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用正例及邊界例確認不同評分者能依相同規則判斷。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____________________________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兩位評分者先獨立判讀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保存原始分數與差異說明；依既定規則處理分歧。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分母與不適用規則正確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檢查有效樣本數、不適用原因及排除方式。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____________________________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結果可供決策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重算指標，確認未用平均掩蓋重要的單項風險。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改進可追蹤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每項修正有責任角色、期限、指標及退回/停止條件。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____________________________</w:t>
            </w:r>
          </w:p>
        </w:tc>
      </w:tr>
    </w:tbl>
    <w:p>
      <w:pPr>
        <w:spacing w:after="20" w:before="0"/>
      </w:pPr>
    </w:p>
    <w:p>
      <w:pPr>
        <w:pStyle w:val="Heading3"/>
      </w:pPr>
      <w:r>
        <w:t>獨立覆核／正式接受簽核欄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1"/>
        <w:gridCol w:w="1941"/>
        <w:gridCol w:w="1941"/>
        <w:gridCol w:w="1941"/>
        <w:gridCol w:w="194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作業角色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姓名／職務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確認事項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r>
              <w:rPr>
                <w:b/>
                <w:color w:val="FFFFFF"/>
              </w:rPr>
              <w:t>完成記錄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填寫人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來源、評分及計算資料完整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待正式填寫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資料覆核人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__________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______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抽查原始來源、分母與重算結果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r>
              <w:t>待正式填寫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有權確認者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依現行權責及真實資料作成決定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待正式填寫</w:t>
            </w:r>
          </w:p>
        </w:tc>
      </w:tr>
    </w:tbl>
    <w:p>
      <w:pPr>
        <w:spacing w:after="20" w:before="0"/>
      </w:pPr>
    </w:p>
    <w:p>
      <w:pPr>
        <w:keepNext w:val="0"/>
        <w:keepLines w:val="0"/>
        <w:pageBreakBefore w:val="0"/>
        <w:spacing w:before="0" w:after="0" w:line="20" w:lineRule="exact"/>
      </w:pPr>
      <w:r>
        <w:rPr>
          <w:sz w:val="2"/>
        </w:rPr>
      </w:r>
    </w:p>
    <w:sectPr w:rsidR="00FC693F" w:rsidRPr="0006063C" w:rsidSect="00034616">
      <w:headerReference w:type="default" r:id="rId13"/>
      <w:footerReference w:type="default" r:id="rId14"/>
      <w:pgSz w:w="11952" w:h="16848"/>
      <w:pgMar w:top="979" w:right="1123" w:bottom="936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7085"/>
        <w:sz w:val="16"/>
      </w:rPr>
      <w:t>SAMPLE / SYNTHETIC　|　志工協會情境示例　|　本報告　|　職能分析方法檢討　|　第</w:t>
    </w:r>
    <w:fldSimple w:instr="PAGE"/>
    <w:r>
      <w:rPr>
        <w:color w:val="667085"/>
        <w:sz w:val="16"/>
      </w:rPr>
      <w:t>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7085"/>
        <w:sz w:val="16"/>
      </w:rPr>
      <w:t>SAMPLE / SYNTHETIC　|　志工協會情境示例　|　本報告　|　職能分析方法檢討　|　第</w:t>
    </w:r>
    <w:fldSimple w:instr="PAGE"/>
    <w:r>
      <w:rPr>
        <w:color w:val="667085"/>
        <w:sz w:val="16"/>
      </w:rPr>
      <w:t>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7085"/>
        <w:sz w:val="16"/>
      </w:rPr>
      <w:t>SAMPLE / SYNTHETIC　|　志工協會情境示例　|　本報告　|　職能分析方法檢討　|　第</w:t>
    </w:r>
    <w:fldSimple w:instr="PAGE"/>
    <w:r>
      <w:rPr>
        <w:color w:val="667085"/>
        <w:sz w:val="16"/>
      </w:rPr>
      <w:t>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7085"/>
        <w:sz w:val="16"/>
      </w:rPr>
      <w:t>TTQS 方法檢討示範報告　／　全篇合成資料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7085"/>
        <w:sz w:val="16"/>
      </w:rPr>
      <w:t>TTQS 方法檢討示範報告　／　全篇合成資料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7085"/>
        <w:sz w:val="16"/>
      </w:rPr>
      <w:t>TTQS 方法檢討示範報告　／　全篇合成資料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7D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9" w:lineRule="auto"/>
    </w:pPr>
    <w:rPr>
      <w:rFonts w:ascii="Microsoft JhengHei" w:hAnsi="Microsoft JhengHei" w:eastAsia="Microsoft JhengHei"/>
      <w:color w:val="263445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contextualSpacing/>
    </w:pPr>
    <w:rPr>
      <w:rFonts w:ascii="Microsoft JhengHei" w:hAnsi="Microsoft JhengHei" w:eastAsia="Microsoft JhengHei"/>
      <w:color w:val="26344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9" w:lineRule="auto"/>
      <w:contextualSpacing/>
    </w:pPr>
    <w:rPr>
      <w:rFonts w:ascii="Microsoft JhengHei" w:hAnsi="Microsoft JhengHei" w:eastAsia="Microsoft JhengHei"/>
      <w:color w:val="26344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header" Target="header5.xml"/><Relationship Id="rId20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職能分析與運用方法檢討及改進分析報告</dc:title>
  <dc:subject>以工作樣本檢查方法可用性並追蹤改進</dc:subject>
  <dc:creator>原始點協會示範文件（合成案例）</dc:creator>
  <cp:keywords>職能分析;方法檢討;改進;示範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