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</w:rPr>
        <w:t>目標市場與顧客價值具體提升成效分析報告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文件編號：0135　｜　官方佐證要求：I19-E25　｜　版本：R01 候選稿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157 項專案藍圖：第 140 項「市場顧客價值量化：期間／分母／改善幅度」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官方查檢表勾選流水號：UNKNOWN（不得以 DOCX 0135 或藍圖第 140 項代替）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資料期間：示範市場覆蓋 2023–2025；配對顧客價值示範為 2025 年訓前與訓後 90 日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資料狀態：本報告所有結果數字與個案均為 SAMPLE／SYNTHETIC；不是原始點協會實績、不是實際市場普查、不是正式評核結果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9835"/>
      </w:tblGrid>
      <w:tr>
        <w:tc>
          <w:tcPr>
            <w:tcW w:type="dxa" w:w="9835"/>
            <w:shd w:fill="F2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/>
                <w:b/>
              </w:rPr>
              <w:t>使用界線</w:t>
            </w:r>
            <w:r>
              <w:rPr>
                <w:rFonts w:ascii="Microsoft JhengHei" w:hAnsi="Microsoft JhengHei" w:eastAsia="Microsoft JhengHei"/>
                <w:b w:val="0"/>
              </w:rPr>
              <w:t>：本件示範如何把「服務了哪些目標市場」與「顧客從訓練得到什麼可量化價值」分開測量，再以明確期間、母數、分母與計算呈現。現有材料沒有提供協會真實市場母體、名單、原始調查或營運紀錄；因此本文的 80 家、20／24／28 家、15 筆配對及其計算只能用於操作示範，不能複製到正式實績欄。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1. 摘要與使用結論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本報告對應訓練機構版指標 19「訓練系統的市場功能—目標市場及顧客的價值創造」。文件以兩條互不替代的證據線回答該要求：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 xml:space="preserve">1. </w:t>
      </w:r>
      <w:r>
        <w:rPr>
          <w:rFonts w:ascii="Microsoft JhengHei" w:hAnsi="Microsoft JhengHei" w:eastAsia="Microsoft JhengHei"/>
          <w:b/>
        </w:rPr>
        <w:t>目標市場覆蓋</w:t>
      </w:r>
      <w:r>
        <w:rPr>
          <w:rFonts w:ascii="Microsoft JhengHei" w:hAnsi="Microsoft JhengHei" w:eastAsia="Microsoft JhengHei"/>
          <w:b w:val="0"/>
        </w:rPr>
        <w:t>：明確界定合格機構母體及年度去重服務機構數。SAMPLE／SYNTHETIC 示範值為 2023 年 20／80（25.0%）、2024 年 24／80（30.0%）、2025 年 28／80（35.0%）；逐年增加 5.0 個百分點。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 xml:space="preserve">2. </w:t>
      </w:r>
      <w:r>
        <w:rPr>
          <w:rFonts w:ascii="Microsoft JhengHei" w:hAnsi="Microsoft JhengHei" w:eastAsia="Microsoft JhengHei"/>
          <w:b/>
        </w:rPr>
        <w:t>顧客價值</w:t>
      </w:r>
      <w:r>
        <w:rPr>
          <w:rFonts w:ascii="Microsoft JhengHei" w:hAnsi="Microsoft JhengHei" w:eastAsia="Microsoft JhengHei"/>
          <w:b w:val="0"/>
        </w:rPr>
        <w:t>：對 2025 年 28 家示範服務機構中的 15 家作訓前與訓後 90 日配對。SAMPLE／SYNTHETIC 示範的每月紀錄工時中位數由 120 分鐘降為 90 分鐘；準時完成數由 8／15 增至 12／15。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這些結果能示範完整計算和查核流程，不能證明原始點協會實際擴大了市場或提升了顧客績效。配對樣本沒有對照組，且 13／28 家未回覆；不得把變化宣稱為訓練的確定因果效果。本文不自評 TTQS 分數，也不代替評核委員判定。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2. 需求對應與文件邊界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7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對照欄位</w:t>
            </w:r>
          </w:p>
        </w:tc>
        <w:tc>
          <w:tcPr>
            <w:tcW w:type="dxa" w:w="51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正式對應與本件處理方式</w:t>
            </w:r>
          </w:p>
        </w:tc>
      </w:tr>
      <w:tr>
        <w:trPr>
          <w:cantSplit/>
        </w:trPr>
        <w:tc>
          <w:tcPr>
            <w:tcW w:type="dxa" w:w="47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文件／需求</w:t>
            </w:r>
          </w:p>
        </w:tc>
        <w:tc>
          <w:tcPr>
            <w:tcW w:type="dxa" w:w="51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DOCX 0135 對應 I19-E25：目標市場及顧客價值創造；官方來源見《訓練機構版查核佐證文件資料表》第 7–8 頁。</w:t>
            </w:r>
          </w:p>
        </w:tc>
      </w:tr>
      <w:tr>
        <w:trPr>
          <w:cantSplit/>
        </w:trPr>
        <w:tc>
          <w:tcPr>
            <w:tcW w:type="dxa" w:w="47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157 項專案藍圖</w:t>
            </w:r>
          </w:p>
        </w:tc>
        <w:tc>
          <w:tcPr>
            <w:tcW w:type="dxa" w:w="51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140 項要求量化市場顧客價值並說明期間、分母、改善幅度；第 141 項個人訓練績效及第 142 項市場競爭／營收／流程／成本／客訴為不同證據方向。</w:t>
            </w:r>
          </w:p>
        </w:tc>
      </w:tr>
      <w:tr>
        <w:trPr>
          <w:cantSplit/>
        </w:trPr>
        <w:tc>
          <w:tcPr>
            <w:tcW w:type="dxa" w:w="47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官方查檢流水號</w:t>
            </w:r>
          </w:p>
        </w:tc>
        <w:tc>
          <w:tcPr>
            <w:tcW w:type="dxa" w:w="51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UNKNOWN。正式流水號未從本來源包核實；0135 與 140 都是專案識別，不可冒充官方序號。</w:t>
            </w:r>
          </w:p>
        </w:tc>
      </w:tr>
      <w:tr>
        <w:trPr>
          <w:cantSplit/>
        </w:trPr>
        <w:tc>
          <w:tcPr>
            <w:tcW w:type="dxa" w:w="47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文類</w:t>
            </w:r>
          </w:p>
        </w:tc>
        <w:tc>
          <w:tcPr>
            <w:tcW w:type="dxa" w:w="51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多年度目標市場覆蓋及顧客價值成效分析報告，含完整示範數據、計算方法、追蹤工具、替換清冊及停收條件；不是滿意度問卷、會議紀錄或自評表。</w:t>
            </w:r>
          </w:p>
        </w:tc>
      </w:tr>
      <w:tr>
        <w:trPr>
          <w:cantSplit/>
        </w:trPr>
        <w:tc>
          <w:tcPr>
            <w:tcW w:type="dxa" w:w="471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明確排除</w:t>
            </w:r>
          </w:p>
        </w:tc>
        <w:tc>
          <w:tcPr>
            <w:tcW w:type="dxa" w:w="511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不把 0133／I19-E22 的班次與參訓人次當成市場分母；不把 0134／I19-E23 的會員人數或會費收入當成本件結果；不共用或暗示三件文件來自同一真實個案。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</w:rPr>
        <w:t>官方指標 19 的評分描述由「有提升但沒有具體紀錄評量」至「有部分提升」、「有一定程度量化效益」及「有顯著具體績效」。本段僅供定位官方題意，</w:t>
      </w:r>
      <w:r>
        <w:rPr>
          <w:rFonts w:ascii="Microsoft JhengHei" w:hAnsi="Microsoft JhengHei" w:eastAsia="Microsoft JhengHei"/>
          <w:b/>
        </w:rPr>
        <w:t>不表示本示範符合任何分數級距</w:t>
      </w:r>
      <w:r>
        <w:rPr>
          <w:rFonts w:ascii="Microsoft JhengHei" w:hAnsi="Microsoft JhengHei" w:eastAsia="Microsoft JhengHei"/>
          <w:b w:val="0"/>
        </w:rPr>
        <w:t>；實際評分由正式評核程序判斷。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3. 目標市場定義與計數規則（SAMPLE／SYNTHETIC）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3.1 示範客群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本示範設定的服務對象為非營利組織中負責志工排班、服務紀錄及月報彙整的行政管理人員。此客群只用來展示市場定義方式，不表示原始點協會已選定此市場或已服務這些組織。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3.2 納入、排除及去重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20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操作定義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查核方式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納入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位於所界定服務範圍、確有志工服務活動，且至少有一名承辦人負責服務紀錄或月報的非營利組織。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依真實年度母體名冊與資格欄逐筆檢查；資料未提供前保持 UNKNOWN。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排除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無志工服務活動、無本件課程所需職務情境、重複或資格無法核實的機構。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保留排除原因代碼及覆核日期；不得以無資料者直接算入母體。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分母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當年度符合納入條件且完成去重的機構數 (N_t)。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每年保存名冊版本、納入排除規則及差異說明；真實數值目前 UNKNOWN。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當年度至少一人完成本件相關訓練的合格機構去重數 (n_t)。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以機構識別碼與實際完訓證明核對；同機構多人參訓仍只計 1 家。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覆蓋率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(n_t ÷ N_t × 100%)。</w:t>
            </w:r>
          </w:p>
        </w:tc>
        <w:tc>
          <w:tcPr>
            <w:tcW w:type="dxa" w:w="390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以相同資格和去重規則按年重算；母體變動必須披露。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</w:rPr>
        <w:t>SAMPLE／SYNTHETIC 示例把年度母體固定為 80 家，只為清楚示範公式。這不是政府名錄、協會名冊、市場規模或市場占有率；正式分析不得照抄「80」。若不同年度的母體範圍或名冊來源改變，須先提供可比性說明，不能只比較覆蓋百分比。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4. 多年度目標市場覆蓋分析（SAMPLE／SYNTHETIC）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合格目標機構母體 (N_t)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去重服務機構 (n_t)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覆蓋率 (n_t/N_t)</w:t>
            </w:r>
          </w:p>
        </w:tc>
        <w:tc>
          <w:tcPr>
            <w:tcW w:type="dxa" w:w="144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相較前期變化</w:t>
            </w:r>
          </w:p>
        </w:tc>
        <w:tc>
          <w:tcPr>
            <w:tcW w:type="dxa" w:w="117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相對變化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資料狀態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2023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 家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家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25.0%</w:t>
            </w:r>
          </w:p>
        </w:tc>
        <w:tc>
          <w:tcPr>
            <w:tcW w:type="dxa" w:w="144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基準年</w:t>
            </w:r>
          </w:p>
        </w:tc>
        <w:tc>
          <w:tcPr>
            <w:tcW w:type="dxa" w:w="117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基準年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2024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 家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24 家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30.0%</w:t>
            </w:r>
          </w:p>
        </w:tc>
        <w:tc>
          <w:tcPr>
            <w:tcW w:type="dxa" w:w="144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+5.0 個百分點</w:t>
            </w:r>
          </w:p>
        </w:tc>
        <w:tc>
          <w:tcPr>
            <w:tcW w:type="dxa" w:w="117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+20.0%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 家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28 家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35.0%</w:t>
            </w:r>
          </w:p>
        </w:tc>
        <w:tc>
          <w:tcPr>
            <w:tcW w:type="dxa" w:w="144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+5.0 個百分點</w:t>
            </w:r>
          </w:p>
        </w:tc>
        <w:tc>
          <w:tcPr>
            <w:tcW w:type="dxa" w:w="117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+16.7%</w:t>
            </w:r>
          </w:p>
        </w:tc>
        <w:tc>
          <w:tcPr>
            <w:tcW w:type="dxa" w:w="156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SAMPLE／SYNTHETIC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</w:rPr>
        <w:t>計算：2023 覆蓋率＝20÷80＝25.0%；2024＝24÷80＝30.0%；2025＝28÷80＝35.0%。2024 較 2023 增加 30.0%−25.0%＝5.0 個百分點，相對變化為 5÷25＝20.0%。2025 較 2024 增加 35.0%−30.0%＝5.0 個百分點，相對變化為 5÷30＝16.7%（四捨五入至小數一位）。三年累計為 +10.0 個百分點；相對 2023 基準為 (35−25)÷25＝40.0%。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市場覆蓋的分子是「去重機構」，不是個人參訓人次；母體固定是假設，不是實際外部市場普查。若母體每年 80 家的假設不成立，應重算並解釋母體變動，不能保留本表結果。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5. 顧客價值測量設計（SAMPLE／SYNTHETIC）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5.1 配對方式與期間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示範於 2025 年服務的 28 家機構中取得 15 家可配對紀錄。每一列代表同一個 SAMPLE 機構在訓前基準期及課後第 90 日追蹤期的相同月報工作。因本件沒有任何真實機構或原始問卷，這 15 列全部是合成資料。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訓前工時</w:t>
      </w:r>
      <w:r>
        <w:rPr>
          <w:rFonts w:ascii="Microsoft JhengHei" w:hAnsi="Microsoft JhengHei" w:eastAsia="Microsoft JhengHei"/>
          <w:b w:val="0"/>
        </w:rPr>
        <w:t>：完成一份月度志工服務紀錄的示範分鐘數。實際調查應固定起訖點，並排除與月報無關的工作。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訓後工時</w:t>
      </w:r>
      <w:r>
        <w:rPr>
          <w:rFonts w:ascii="Microsoft JhengHei" w:hAnsi="Microsoft JhengHei" w:eastAsia="Microsoft JhengHei"/>
          <w:b w:val="0"/>
        </w:rPr>
        <w:t>：同一工作定義在課後第 90 日測量的示範分鐘數。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準時狀態</w:t>
      </w:r>
      <w:r>
        <w:rPr>
          <w:rFonts w:ascii="Microsoft JhengHei" w:hAnsi="Microsoft JhengHei" w:eastAsia="Microsoft JhengHei"/>
          <w:b w:val="0"/>
        </w:rPr>
        <w:t>：本示範以「是否在組織事前明訂的月報期限內完成」記為 1／0。示範並未取得真實期限或系統時間戳記；實際報告須引用機構適用的書面期限，否則不得計算準時率。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配對分母</w:t>
      </w:r>
      <w:r>
        <w:rPr>
          <w:rFonts w:ascii="Microsoft JhengHei" w:hAnsi="Microsoft JhengHei" w:eastAsia="Microsoft JhengHei"/>
          <w:b w:val="0"/>
        </w:rPr>
        <w:t>：15 家有兩期有效資料的機構；28 家為該年度示範服務機構總數。未回覆 13 家必須留在回覆率計算，不得刪除後只報 15 家。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5.2 測量表與資料控制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0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訓前基準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訓後 90 日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量測規則／必要佐證</w:t>
            </w:r>
          </w:p>
        </w:tc>
      </w:tr>
      <w:tr>
        <w:trPr>
          <w:cantSplit/>
        </w:trPr>
        <w:tc>
          <w:tcPr>
            <w:tcW w:type="dxa" w:w="20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合格機構識別碼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使用去識別化代碼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同一代碼配對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對照表另行限權保管，不放入報告或公開附件。</w:t>
            </w:r>
          </w:p>
        </w:tc>
      </w:tr>
      <w:tr>
        <w:trPr>
          <w:cantSplit/>
        </w:trPr>
        <w:tc>
          <w:tcPr>
            <w:tcW w:type="dxa" w:w="20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月報處理工時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一份相同定義月報所需分鐘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同一機構、相同工作定義的分鐘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填開始與完成日期、分鐘數、量測方式；若工作範圍不同，列為不可比並說明。</w:t>
            </w:r>
          </w:p>
        </w:tc>
      </w:tr>
      <w:tr>
        <w:trPr>
          <w:cantSplit/>
        </w:trPr>
        <w:tc>
          <w:tcPr>
            <w:tcW w:type="dxa" w:w="20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月報準時狀態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1＝在預先核實期限內；0＝逾期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使用同一期限與判定方式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保存期限來源及原始完成時間；若無期限或時間證據，填 UNKNOWN，不填 1。</w:t>
            </w:r>
          </w:p>
        </w:tc>
      </w:tr>
      <w:tr>
        <w:trPr>
          <w:cantSplit/>
        </w:trPr>
        <w:tc>
          <w:tcPr>
            <w:tcW w:type="dxa" w:w="20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訓後追蹤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不適用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課後第 90 日，允許窗口須事前固定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保存通知、回覆狀態與缺漏原因；不把未回覆者當作沒有成效。</w:t>
            </w:r>
          </w:p>
        </w:tc>
      </w:tr>
      <w:tr>
        <w:trPr>
          <w:cantSplit/>
        </w:trPr>
        <w:tc>
          <w:tcPr>
            <w:tcW w:type="dxa" w:w="208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可驗證來源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原始工時記錄或問卷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原始追蹤記錄；必要時以合法可取得的業務記錄覆核</w:t>
            </w:r>
          </w:p>
        </w:tc>
        <w:tc>
          <w:tcPr>
            <w:tcW w:type="dxa" w:w="258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記錄來源檔名、頁碼／欄位、版本及取得日期；目前真實來源均 UNKNOWN。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6. 15 筆配對示範資料（全數 SAMPLE／SYNTHETIC）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下表完整呈現來源包內 15 列合成資料。工時節省分鐘＝訓前分鐘−訓後分鐘，所以正數表示減少；準時欄以 1／0 表示同一測量規則下的狀態。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個案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訓前工時（分）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訓後 90 日（分）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節省（分）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訓前準時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訓後準時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狀態變化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SYN-0135-VALUE-2025-01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180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140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SYN-0135-VALUE-2025-02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150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130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SYN-0135-VALUE-2025-03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150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SYN-0135-VALUE-2025-04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140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115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SYN-0135-VALUE-2025-05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135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110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SYN-0135-VALUE-2025-06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130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105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SYN-0135-VALUE-2025-07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95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SYN-0135-VALUE-2025-08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SYN-0135-VALUE-2025-09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115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85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由未準時轉為準時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SYN-0135-VALUE-2025-10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110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由未準時轉為準時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SYN-0135-VALUE-2025-11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75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由未準時轉為準時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SYN-0135-VALUE-2025-12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95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由未準時轉為準時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SYN-0135-VALUE-2025-13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65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仍未準時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SYN-0135-VALUE-2025-14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85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60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仍未準時</w:t>
            </w:r>
          </w:p>
        </w:tc>
      </w:tr>
      <w:tr>
        <w:trPr>
          <w:cantSplit/>
        </w:trPr>
        <w:tc>
          <w:tcPr>
            <w:tcW w:type="dxa" w:w="177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SYN-0135-VALUE-2025-15</w:t>
            </w:r>
          </w:p>
        </w:tc>
        <w:tc>
          <w:tcPr>
            <w:tcW w:type="dxa" w:w="1437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</w:t>
            </w:r>
          </w:p>
        </w:tc>
        <w:tc>
          <w:tcPr>
            <w:tcW w:type="dxa" w:w="1729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55</w:t>
            </w:r>
          </w:p>
        </w:tc>
        <w:tc>
          <w:tcPr>
            <w:tcW w:type="dxa" w:w="1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074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1540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仍未準時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7. 計算與解讀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SAMPLE／SYNTHETIC 計算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示範結果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訓前工時中位數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排序後第 8 筆，(n=15)：80, 85, 90, 95, 100, 110, 115,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, 120, 130, 135, 140, 150, 150, 180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120 分鐘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訓後工時中位數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排序後第 8 筆：55, 60, 65, 70, 75, 80, 85,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90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, 95, 105, 110, 115, 120, 130, 140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90 分鐘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中位數工時差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120−90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減少 30 分鐘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工時相對減幅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(120−90)÷120×100%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25.0%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訓前準時率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8÷15×100%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53.3%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訓後準時率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12÷15×100%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80.0%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準時率變化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80.0%−53.3%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+26.7 個百分點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配對回覆率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15÷28×100%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53.6%；未回覆 13 家，即 46.4%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</w:rPr>
        <w:t>以中位數比較，可降低單一極端工時對摘要數值的影響；仍須檢查兩期工作內容是否相同。這 15 組資料中的準時率改善和工時下降是合成的前後變化，不證明訓練是唯一原因。無對照組、13 家未回覆、外部工作量與人員變動均可能影響結果；未完成非回覆偏差分析前，不外推到 28 家或更大市場。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8. 可採取的管理決策示例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以下是如何把量測結果轉成可追蹤決策的 SAMPLE 範例，不是原始點協會已通過的決議。實際責任人、日期及決策須由機構依正式流程建立；目前均為 UNKNOWN。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2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決策議題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示範行動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追蹤證據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期限／責任人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HOLD 觸發條件</w:t>
            </w:r>
          </w:p>
        </w:tc>
      </w:tr>
      <w:tr>
        <w:trPr>
          <w:cantSplit/>
        </w:trPr>
        <w:tc>
          <w:tcPr>
            <w:tcW w:type="dxa" w:w="12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母體穩定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每年度先凍結資格規則與名冊版本，再計算合格家數；母體變動時重算歷年可比範圍。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年度資格清單、納入／排除原因及版本差異表。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由實際機構指定；目前 UNKNOWN。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名冊來源或資格不明、重複機構未去重。</w:t>
            </w:r>
          </w:p>
        </w:tc>
      </w:tr>
      <w:tr>
        <w:trPr>
          <w:cantSplit/>
        </w:trPr>
        <w:tc>
          <w:tcPr>
            <w:tcW w:type="dxa" w:w="12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對未回覆者記錄一次以上合規提醒及未回覆原因，並比較回覆與未回覆樣本是否有明顯差異。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追蹤日期、回覆狀態、缺漏碼；不保留不必要的聯絡資訊於成果報告。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由實際機構指定；目前 UNKNOWN。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只報 15 家而隱去 28 家分母。</w:t>
            </w:r>
          </w:p>
        </w:tc>
      </w:tr>
      <w:tr>
        <w:trPr>
          <w:cantSplit/>
        </w:trPr>
        <w:tc>
          <w:tcPr>
            <w:tcW w:type="dxa" w:w="1292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顧客價值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固定月報工作定義、起訖點與 90 日窗口，再重複測量；如流程已變更，將變更納入解讀。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配對測量表、同一期限證據、原始時間記錄。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由實際機構指定；目前 UNKNOWN。</w:t>
            </w:r>
          </w:p>
        </w:tc>
        <w:tc>
          <w:tcPr>
            <w:tcW w:type="dxa" w:w="213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前後工作定義不同或只有滿意度、沒有客觀價值量測。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9. 跨文件連結及隔離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專屬證據範圍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本件如何引用／如何隔離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0133／I19-E22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年度訓練班次與參訓人次。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只可作為另一項訓練活動量文件的索引；不拿班次或人次作本件機構市場母體、服務機構分子或顧客價值結果。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0134／I19-E23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會員人數及會費收入逐年變化。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只可作為另一項會員／會費趨勢文件的索引；不拿會員或會費數字替代本件市場覆蓋與客戶結果。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0135／I19-E25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目標市場覆蓋和目標顧客價值。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本件 SAMPLE 個案代碼為 </w:t>
            </w:r>
            <w:r>
              <w:rPr>
                <w:rFonts w:ascii="Consolas" w:hAnsi="Consolas" w:eastAsia="Consolas"/>
                <w:b w:val="0"/>
                <w:sz w:val="19"/>
              </w:rPr>
              <w:t>SYN-0135-VALUE-2025-XX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；它與 0133、0134 的統計母體、期間及案例均分離。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</w:rPr>
        <w:t>若共用真實原始資料，須另外記錄來源定位及可重用欄位，並分別計算每一官方要求的指標；不得因同一來源而直接複製結果或把不同官方用途合併。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10. SAMPLE 追蹤工具（可用於未來真實蒐集；本表不是已完成原件）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10.1 訓前／資格與基準表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填寫規則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必填驗證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去識別機構代碼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使用不含姓名或聯絡資訊的唯一代碼；身分對照表另行限權保管。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代碼唯一，不跨組織重複。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市場資格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勾選符合／不符合並記錄理由。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依第 3.2 節納入標準覆核。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服務年度及課程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記錄年度、課程代碼及完成狀態。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以正式班級與出席／完訓原件核對。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月報工作範圍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記錄包含及排除的工作步驟。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前後測使用相同定義。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訓前分鐘數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記錄日期、分鐘數及量測來源。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必須是有效數字，不能以空白或估計冒充已量測。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訓前是否準時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1／0／UNKNOWN，並記錄使用的期限版本。</w:t>
            </w:r>
          </w:p>
        </w:tc>
        <w:tc>
          <w:tcPr>
            <w:tcW w:type="dxa" w:w="3501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無可核對期限或完成日期即 UNKNOWN。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10.2 訓後 90 日追蹤問題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>1. 您是否在本課程後持續負責相同類型的志工月報？（是／否；若否，記錄原因，不納入配對分析。）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>2. 請依相同工作範圍，填寫最近一份月報從開始彙整至完成核對所需分鐘數；如非實測，勾選「自陳估計」，不得與實測混為一類。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>3. 該份月報是否在機構預先訂定的期限前完成？（是／否／無可核期限）。請記錄期限版本及可核對的完成日期；本問卷本身不證明期限或時間戳記真實。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>4. 課程內容是否實際用於這項月報工作？（已使用／部分使用／未使用／不適用）。說明具體工作步驟，不收集不必要的個人資料。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>5. 期間是否有系統更換、人員異動、案件量變化或其他可能影響工時／準時的因素？（逐項勾選並簡述）。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>6. 是否有可供合法抽核的原始工作記錄？（有／沒有／尚待取得）。填實際來源位置；未取得前狀態為 UNKNOWN。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</w:rPr>
        <w:t>7. 本次資料是否同意用於彙總分析？依實際蒐集法規與組織程序處理；未確認授權前不納入可識別資料。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10.3 資料品質處理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同一機構只保留一組有效配對值；重複提交需記錄保留規則。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缺漏、拒答、無期限、無法配對分別標記，不以零值補填。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極端值先核對原始記錄，不可只因影響中位數而刪除；如排除，記錄規則及前後數值。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追蹤回覆率以全部合格受服務機構為分母；報告未回覆數及原因分類。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公開報告以彙總數呈現；個人識別及機構秘密依權限分離保存。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11. REAL 資料替換與放行清冊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目前沒有協會真實母體名冊、參訓機構清單、問卷原件、時間記錄、期限證明或核准記錄提供給本文件。下表列的是未來可接受的原始證據種類，不是已取得的原件；所有現行來源定位標為 UNKNOWN。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清冊項目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示範值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可接受的 REAL 原始來源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現況／替換門檻</w:t>
            </w:r>
          </w:p>
        </w:tc>
      </w:tr>
      <w:tr>
        <w:trPr>
          <w:cantSplit/>
        </w:trPr>
        <w:tc>
          <w:tcPr>
            <w:tcW w:type="dxa" w:w="2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年度目標市場母體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每年 80 家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有權使用、定義一致的年度市場名冊或可重建的合格機構清單；保存納入／排除與去重依據。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UNKNOWN；取得原件、來源日期、適用範圍並核對每年變動前不得標 REAL。</w:t>
            </w:r>
          </w:p>
        </w:tc>
      </w:tr>
      <w:tr>
        <w:trPr>
          <w:cantSplit/>
        </w:trPr>
        <w:tc>
          <w:tcPr>
            <w:tcW w:type="dxa" w:w="2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年度服務機構數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20／24／28 家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正式報名、實際出席／完訓或服務紀錄，依機構唯一碼去重。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UNKNOWN；報名不等於已服務，須按文件所採服務定義核對。</w:t>
            </w:r>
          </w:p>
        </w:tc>
      </w:tr>
      <w:tr>
        <w:trPr>
          <w:cantSplit/>
        </w:trPr>
        <w:tc>
          <w:tcPr>
            <w:tcW w:type="dxa" w:w="2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訓前／訓後工時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中位數 120／90 分鐘；15 組配對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同一工作定義的原始量測表、日期與必要的操作紀錄；自陳資料須明示來源型態。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UNKNOWN；兩期時間窗、工作步驟及配對碼核實後再計算。</w:t>
            </w:r>
          </w:p>
        </w:tc>
      </w:tr>
      <w:tr>
        <w:trPr>
          <w:cantSplit/>
        </w:trPr>
        <w:tc>
          <w:tcPr>
            <w:tcW w:type="dxa" w:w="2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準時率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8／15 → 12／15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機構事前設定的月報期限及可核對完成日期／系統紀錄。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UNKNOWN；無可查期限或完成時間時不得計算準時率。</w:t>
            </w:r>
          </w:p>
        </w:tc>
      </w:tr>
      <w:tr>
        <w:trPr>
          <w:cantSplit/>
        </w:trPr>
        <w:tc>
          <w:tcPr>
            <w:tcW w:type="dxa" w:w="2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追蹤回覆率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15／28（53.6%）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當期合格服務機構總清單及回覆／未回覆狀態紀錄。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UNKNOWN；不得只保存回覆者而刪除母數或未回覆數。</w:t>
            </w:r>
          </w:p>
        </w:tc>
      </w:tr>
      <w:tr>
        <w:trPr>
          <w:cantSplit/>
        </w:trPr>
        <w:tc>
          <w:tcPr>
            <w:tcW w:type="dxa" w:w="2206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管理決策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依量測採取的 SAMPLE 追蹤行動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實際機構依正式程序形成的會議／核准／追蹤原件。</w:t>
            </w:r>
          </w:p>
        </w:tc>
        <w:tc>
          <w:tcPr>
            <w:tcW w:type="dxa" w:w="2543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UNKNOWN；不得以本報告示範行動冒充協會決議。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</w:rPr>
        <w:t>放行前需由實際資料保管人與另一覆核者完成逐列來源核對、公式重算、缺漏／未回覆檢查、隱私遮蔽及跨文件一致性檢查。覆核人、日期、來源定位及核准狀態須引用實際原件；目前沒有這些資料，不填造人名或簽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12. 評核員使用檢查表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此表只協助核對文件證據是否可追溯，不代替評核員判分。委員應以官方原件及適用版本自行判讀；本候選的示範欄不得勾為 REAL。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CC"/>
          <w:left w:val="single" w:sz="4" w:space="0" w:color="B8C5CC"/>
          <w:bottom w:val="single" w:sz="4" w:space="0" w:color="B8C5CC"/>
          <w:right w:val="single" w:sz="4" w:space="0" w:color="B8C5CC"/>
          <w:insideH w:val="single" w:sz="4" w:space="0" w:color="B8C5CC"/>
          <w:insideV w:val="single" w:sz="4" w:space="0" w:color="B8C5CC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查核問題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合格所需證據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1F5D6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現場記錄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官方需求是否正確？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I19-E25 正文、官方來源版本／頁碼及文件映射可核對；官方流水號保持 UNKNOWN 直到原件證明。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□符合　□不符合　□待查；頁碼／原件：＿＿＿＿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目標市場母體是否可重建？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納入／排除、年度範圍、來源日期及去重程序明確，母體差異可解釋。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□符合　□不符合　□待查；來源定位：＿＿＿＿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分子是否是機構而非人次？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每年度服務機構清單能去重並對應實際服務紀錄。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□符合　□不符合　□待查；核對筆數：＿＿＿＿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顧客價值是否具體？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至少一項可重複測量的價值結果、定義、期間、分母與前後配對資料。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□符合　□不符合　□待查；來源定位：＿＿＿＿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追蹤是否完整？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90 日窗口、回覆分母、未回覆數及資料缺漏均揭露。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□符合　□不符合　□待查；未回覆數：＿＿＿＿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是否聲稱超過證據？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無未經控制的因果宣稱；無假造客戶原話、簽核、第三方證明或 TTQS 自評分數。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1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□符合　□不符合　□待查；需更正處：＿＿＿＿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SAMPLE／REAL 是否分明？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每一數字都能回到 SAMPLE 標示或實際原件；公開版不含不必要個資。</w:t>
            </w:r>
          </w:p>
        </w:tc>
        <w:tc>
          <w:tcPr>
            <w:tcW w:type="dxa" w:w="3278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□符合　□不符合　□待查；來源定位：＿＿＿＿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13. HOLD／REJECT 條件</w:t>
      </w:r>
    </w:p>
    <w:p>
      <w:pPr>
        <w:widowControl/>
      </w:pPr>
      <w:r>
        <w:rPr>
          <w:rFonts w:ascii="Microsoft JhengHei" w:hAnsi="Microsoft JhengHei" w:eastAsia="Microsoft JhengHei"/>
          <w:b w:val="0"/>
        </w:rPr>
        <w:t>以下是本候選的證據品質閘門，不是官方評分、扣分或處分決定。</w:t>
      </w:r>
    </w:p>
    <w:p>
      <w:pPr>
        <w:widowControl/>
      </w:pPr>
      <w:r>
        <w:rPr>
          <w:rFonts w:ascii="Microsoft JhengHei" w:hAnsi="Microsoft JhengHei" w:eastAsia="Microsoft JhengHei"/>
          <w:b/>
        </w:rPr>
        <w:t>HOLD：</w:t>
      </w:r>
      <w:r>
        <w:rPr>
          <w:rFonts w:ascii="Microsoft JhengHei" w:hAnsi="Microsoft JhengHei" w:eastAsia="Microsoft JhengHei"/>
          <w:b w:val="0"/>
        </w:rPr>
        <w:t xml:space="preserve"> 官方映射或適用版本未核實；目標市場母體來源、資格或去重不清；前後測工作定義不同；分母、未回覆或追蹤期間缺失；準時期限或完成日期無法核對；配對資料來源不明；跨文件事實未隔離；或真實資料尚未取得。HOLD 時保留 SAMPLE／UNKNOWN，不以估算替代。</w:t>
      </w:r>
    </w:p>
    <w:p>
      <w:pPr>
        <w:widowControl/>
      </w:pPr>
      <w:r>
        <w:rPr>
          <w:rFonts w:ascii="Microsoft JhengHei" w:hAnsi="Microsoft JhengHei" w:eastAsia="Microsoft JhengHei"/>
          <w:b/>
        </w:rPr>
        <w:t>REJECT 本候選證據：</w:t>
      </w:r>
      <w:r>
        <w:rPr>
          <w:rFonts w:ascii="Microsoft JhengHei" w:hAnsi="Microsoft JhengHei" w:eastAsia="Microsoft JhengHei"/>
          <w:b w:val="0"/>
        </w:rPr>
        <w:t xml:space="preserve"> 把合成值標成協會真實實績；以人次、會員或會費冒充本件市場價值；捏造政府名錄、組織名冊、客戶見證、時間戳、簽核或核准；把只有回覆者的比例當成全體；以單一滿意度分數取代客觀價值測量；或對無對照組的前後變化宣稱必然因果。此處「REJECT」只表示該證據包不可採用，不預判 TTQS 正式分數。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14. 來源定位與候選狀態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官方來源：訓練機構版《查核佐證文件資料表》，指標 19，PDF 第 7–8 頁；本地候選來源包保留官方原 PDF 及第 7–8 頁抽取件。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專案藍圖：</w:t>
      </w:r>
      <w:r>
        <w:rPr>
          <w:rFonts w:ascii="Consolas" w:hAnsi="Consolas" w:eastAsia="Consolas"/>
          <w:b w:val="0"/>
        </w:rPr>
        <w:t>03_157_CHECKBOX_BLUEPRINTS.md</w:t>
      </w:r>
      <w:r>
        <w:rPr>
          <w:rFonts w:ascii="Microsoft JhengHei" w:hAnsi="Microsoft JhengHei" w:eastAsia="Microsoft JhengHei"/>
          <w:b w:val="0"/>
        </w:rPr>
        <w:t xml:space="preserve"> 第 140 項；相鄰 141、142 項僅用於排除錯件。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寫作規則：</w:t>
      </w:r>
      <w:r>
        <w:rPr>
          <w:rFonts w:ascii="Consolas" w:hAnsi="Consolas" w:eastAsia="Consolas"/>
          <w:b w:val="0"/>
        </w:rPr>
        <w:t>02_GENRE_WRITING_MANUAL.md</w:t>
      </w:r>
      <w:r>
        <w:rPr>
          <w:rFonts w:ascii="Microsoft JhengHei" w:hAnsi="Microsoft JhengHei" w:eastAsia="Microsoft JhengHei"/>
          <w:b w:val="0"/>
        </w:rPr>
        <w:t xml:space="preserve"> 指標 19 段落。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來源分支快照：</w:t>
      </w:r>
      <w:r>
        <w:rPr>
          <w:rFonts w:ascii="Consolas" w:hAnsi="Consolas" w:eastAsia="Consolas"/>
          <w:b w:val="0"/>
        </w:rPr>
        <w:t>work/ttqs-one-document-quality-contract-20261016</w:t>
      </w:r>
      <w:r>
        <w:rPr>
          <w:rFonts w:ascii="Microsoft JhengHei" w:hAnsi="Microsoft JhengHei" w:eastAsia="Microsoft JhengHei"/>
          <w:b w:val="0"/>
        </w:rPr>
        <w:t xml:space="preserve">，本件來源準備的讀取基準 commit </w:t>
      </w:r>
      <w:r>
        <w:rPr>
          <w:rFonts w:ascii="Consolas" w:hAnsi="Consolas" w:eastAsia="Consolas"/>
          <w:b w:val="0"/>
        </w:rPr>
        <w:t>8ff5f8cbe6df80be9ed60577ed324e5a0a18f382</w:t>
      </w:r>
      <w:r>
        <w:rPr>
          <w:rFonts w:ascii="Microsoft JhengHei" w:hAnsi="Microsoft JhengHei" w:eastAsia="Microsoft JhengHei"/>
          <w:b w:val="0"/>
        </w:rPr>
        <w:t>；精確 blob 與檔案雜湊見同包 SOURCE_MANIFEST_0135_R01.json。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</w:rPr>
        <w:t>本件仍是 SAMPLE／SYNTHETIC 候選；獨立 exact-SHA 語意審查待完成；正式接受及送審未授權。</w:t>
      </w:r>
    </w:p>
    <w:p>
      <w:pPr>
        <w:widowControl/>
      </w:pPr>
      <w:r>
        <w:rPr>
          <w:rFonts w:ascii="Microsoft JhengHei" w:hAnsi="Microsoft JhengHei" w:eastAsia="Microsoft JhengHei"/>
          <w:b/>
        </w:rPr>
        <w:t>結論</w:t>
      </w:r>
      <w:r>
        <w:rPr>
          <w:rFonts w:ascii="Microsoft JhengHei" w:hAnsi="Microsoft JhengHei" w:eastAsia="Microsoft JhengHei"/>
          <w:b w:val="0"/>
        </w:rPr>
        <w:t>：本報告展示了如何分開計算市場覆蓋與顧客價值、明示期間和分母、披露未回覆並把前後量測限制說清楚。由於 REAL 原件尚未提供，本報告不能證明原始點協會的實際成效；取得真實來源前，全部示範數值必須維持 SAMPLE／SYNTHETIC。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7"/>
      </w:rPr>
      <w:t xml:space="preserve">候選稿 R01　｜　REAL 原件未提供　｜　第 </w:t>
    </w:r>
    <w:r>
      <w:rPr>
        <w:rFonts w:ascii="Microsoft JhengHei" w:hAnsi="Microsoft JhengHei" w:eastAsia="Microsoft JhengHei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2616B"/>
        <w:sz w:val="16"/>
      </w:rPr>
      <w:t>TTQS ONE　0135　市場與顧客價值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5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目標市場與顧客價值具體提升成效分析報告｜0135 R01</dc:title>
  <dc:subject>I19-E25; SAMPLE/SYNTHETIC candidate; independent review pending</dc:subject>
  <dc:creator>TTQS ONE candidate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