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color w:val="000000"/>
          <w:sz w:val="40"/>
        </w:rPr>
        <w:t>課程產品及流程檢討分析報告｜候選 R12</w:t>
      </w:r>
    </w:p>
    <w:p>
      <w:pPr>
        <w:spacing w:after="200"/>
      </w:pPr>
      <w:r>
        <w:rPr>
          <w:rFonts w:ascii="Microsoft JhengHei" w:hAnsi="Microsoft JhengHei" w:eastAsia="Microsoft JhengHei"/>
          <w:b/>
          <w:color w:val="183B63"/>
          <w:sz w:val="19"/>
        </w:rPr>
        <w:t>文件編號 0007  |  官方要求 I01-E04  |  版本 R12  |  候選文件  |  SAMPLE / SYNTHETIC</w:t>
      </w:r>
    </w:p>
    <w:p>
      <w:r>
        <w:rPr>
          <w:rFonts w:ascii="Microsoft JhengHei" w:hAnsi="Microsoft JhengHei" w:eastAsia="Microsoft JhengHei"/>
          <w:b/>
          <w:color w:val="202938"/>
          <w:sz w:val="21"/>
        </w:rPr>
        <w:t>doc_id 0007｜I01-E04｜分析／評估報告</w:t>
      </w:r>
      <w:r>
        <w:rPr>
          <w:rFonts w:ascii="Microsoft JhengHei" w:hAnsi="Microsoft JhengHei" w:eastAsia="Microsoft JhengHei"/>
          <w:color w:val="202938"/>
          <w:sz w:val="21"/>
        </w:rPr>
        <w:t xml:space="preserve"> </w:t>
      </w:r>
      <w:r>
        <w:rPr>
          <w:rFonts w:ascii="Microsoft JhengHei" w:hAnsi="Microsoft JhengHei" w:eastAsia="Microsoft JhengHei"/>
          <w:b/>
          <w:color w:val="202938"/>
          <w:sz w:val="21"/>
        </w:rPr>
        <w:t>狀態：DOCX_CANDIDATE_R12；以下均為 SAMPLE／SYNTHETIC；未經原始點協會正式接受。</w:t>
      </w:r>
      <w:r>
        <w:rPr>
          <w:rFonts w:ascii="Microsoft JhengHei" w:hAnsi="Microsoft JhengHei" w:eastAsia="Microsoft JhengHei"/>
          <w:color w:val="202938"/>
          <w:sz w:val="21"/>
        </w:rPr>
        <w:t xml:space="preserve"> </w:t>
      </w:r>
      <w:r>
        <w:rPr>
          <w:rFonts w:ascii="Microsoft JhengHei" w:hAnsi="Microsoft JhengHei" w:eastAsia="Microsoft JhengHei"/>
          <w:b/>
          <w:color w:val="202938"/>
          <w:sz w:val="21"/>
        </w:rPr>
        <w:t>情境界線：</w:t>
      </w:r>
      <w:r>
        <w:rPr>
          <w:rFonts w:ascii="Microsoft JhengHei" w:hAnsi="Microsoft JhengHei" w:eastAsia="Microsoft JhengHei"/>
          <w:color w:val="202938"/>
          <w:sz w:val="21"/>
        </w:rPr>
        <w:t xml:space="preserve"> 以志工關懷協會可能採用的課程與流程作方法示例，不描述任何特定協會的實際課程、志工、服務、決定或績效。</w:t>
      </w:r>
    </w:p>
    <w:p>
      <w:pPr>
        <w:pStyle w:val="Heading2"/>
      </w:pPr>
      <w:r>
        <w:rPr>
          <w:rFonts w:ascii="Microsoft JhengHei" w:hAnsi="Microsoft JhengHei" w:eastAsia="Microsoft JhengHei"/>
          <w:color w:val="202938"/>
          <w:sz w:val="24"/>
        </w:rPr>
        <w:t>30 秒使用指引</w:t>
      </w:r>
    </w:p>
    <w:p>
      <w:r>
        <w:rPr>
          <w:rFonts w:ascii="Microsoft JhengHei" w:hAnsi="Microsoft JhengHei" w:eastAsia="Microsoft JhengHei"/>
          <w:color w:val="202938"/>
          <w:sz w:val="21"/>
        </w:rPr>
        <w:t xml:space="preserve">第 1 節界定官方要求；第 2 節說明來源限制；第 3–4 節比較三種課程設計並重算分數；第 6 節提供已填妥的生命週期檢核表。演練事實以 </w:t>
      </w:r>
      <w:r>
        <w:rPr>
          <w:rFonts w:ascii="Consolas" w:hAnsi="Consolas" w:eastAsia="Consolas"/>
          <w:color w:val="214A70"/>
          <w:sz w:val="21"/>
        </w:rPr>
        <w:t>F</w:t>
      </w:r>
      <w:r>
        <w:rPr>
          <w:rFonts w:ascii="Microsoft JhengHei" w:hAnsi="Microsoft JhengHei" w:eastAsia="Microsoft JhengHei"/>
          <w:color w:val="202938"/>
          <w:sz w:val="21"/>
        </w:rPr>
        <w:t xml:space="preserve"> 鍵連至同一候選證據包中的 SYNTHETIC_REPLACEMENT_REGISTER_0007_R12.csv。方案 A 只在這組合成評分下領先；設計檢核仍為 4/5，須維持 HOLD，不代表協會選定或核准。</w:t>
      </w:r>
    </w:p>
    <w:p>
      <w:r>
        <w:rPr>
          <w:rFonts w:ascii="Microsoft JhengHei" w:hAnsi="Microsoft JhengHei" w:eastAsia="Microsoft JhengHei"/>
          <w:color w:val="202938"/>
          <w:sz w:val="21"/>
        </w:rPr>
        <w:t>第 4.4 節示範 Blueprint 指定的差距與改善率公式，列出分母、單位、逐步算式、N/A 條件及 HOLD 規則；範例為 SAMPLE／SYNTHETIC，不代表協會實績。</w:t>
      </w:r>
    </w:p>
    <w:p>
      <w:pPr>
        <w:pStyle w:val="Heading2"/>
      </w:pPr>
      <w:r>
        <w:rPr>
          <w:rFonts w:ascii="Microsoft JhengHei" w:hAnsi="Microsoft JhengHei" w:eastAsia="Microsoft JhengHei"/>
          <w:color w:val="202938"/>
          <w:sz w:val="24"/>
        </w:rPr>
        <w:t>摘要</w:t>
      </w:r>
    </w:p>
    <w:p>
      <w:r>
        <w:rPr>
          <w:rFonts w:ascii="Microsoft JhengHei" w:hAnsi="Microsoft JhengHei" w:eastAsia="Microsoft JhengHei"/>
          <w:color w:val="202938"/>
          <w:sz w:val="21"/>
        </w:rPr>
        <w:t xml:space="preserve">官方要求：「課程產品及流程的檢討分析。」（官方表第 1 頁）。本例以 0003 的一筆合成回覆作受限訊號，依同一組五項準則比較三種產品／流程方案。加權總分：A </w:t>
      </w:r>
      <w:r>
        <w:rPr>
          <w:rFonts w:ascii="Microsoft JhengHei" w:hAnsi="Microsoft JhengHei" w:eastAsia="Microsoft JhengHei"/>
          <w:b/>
          <w:color w:val="202938"/>
          <w:sz w:val="21"/>
        </w:rPr>
        <w:t>4.50/5（F0034）</w:t>
      </w:r>
      <w:r>
        <w:rPr>
          <w:rFonts w:ascii="Microsoft JhengHei" w:hAnsi="Microsoft JhengHei" w:eastAsia="Microsoft JhengHei"/>
          <w:color w:val="202938"/>
          <w:sz w:val="21"/>
        </w:rPr>
        <w:t xml:space="preserve">、B </w:t>
      </w:r>
      <w:r>
        <w:rPr>
          <w:rFonts w:ascii="Microsoft JhengHei" w:hAnsi="Microsoft JhengHei" w:eastAsia="Microsoft JhengHei"/>
          <w:b/>
          <w:color w:val="202938"/>
          <w:sz w:val="21"/>
        </w:rPr>
        <w:t>4.10/5（F0035）</w:t>
      </w:r>
      <w:r>
        <w:rPr>
          <w:rFonts w:ascii="Microsoft JhengHei" w:hAnsi="Microsoft JhengHei" w:eastAsia="Microsoft JhengHei"/>
          <w:color w:val="202938"/>
          <w:sz w:val="21"/>
        </w:rPr>
        <w:t xml:space="preserve">、C </w:t>
      </w:r>
      <w:r>
        <w:rPr>
          <w:rFonts w:ascii="Microsoft JhengHei" w:hAnsi="Microsoft JhengHei" w:eastAsia="Microsoft JhengHei"/>
          <w:b/>
          <w:color w:val="202938"/>
          <w:sz w:val="21"/>
        </w:rPr>
        <w:t>3.65/5（F0036）</w:t>
      </w:r>
      <w:r>
        <w:rPr>
          <w:rFonts w:ascii="Microsoft JhengHei" w:hAnsi="Microsoft JhengHei" w:eastAsia="Microsoft JhengHei"/>
          <w:color w:val="202938"/>
          <w:sz w:val="21"/>
        </w:rPr>
        <w:t xml:space="preserve">。分數是合成分析，不是調查結果、課程實績或決議。A 的設計完整度 </w:t>
      </w:r>
      <w:r>
        <w:rPr>
          <w:rFonts w:ascii="Microsoft JhengHei" w:hAnsi="Microsoft JhengHei" w:eastAsia="Microsoft JhengHei"/>
          <w:b/>
          <w:color w:val="202938"/>
          <w:sz w:val="21"/>
        </w:rPr>
        <w:t>4/5=80%（F0044）</w:t>
      </w:r>
      <w:r>
        <w:rPr>
          <w:rFonts w:ascii="Microsoft JhengHei" w:hAnsi="Microsoft JhengHei" w:eastAsia="Microsoft JhengHei"/>
          <w:color w:val="202938"/>
          <w:sz w:val="21"/>
        </w:rPr>
        <w:t xml:space="preserve">，低於本例 </w:t>
      </w:r>
      <w:r>
        <w:rPr>
          <w:rFonts w:ascii="Microsoft JhengHei" w:hAnsi="Microsoft JhengHei" w:eastAsia="Microsoft JhengHei"/>
          <w:b/>
          <w:color w:val="202938"/>
          <w:sz w:val="21"/>
        </w:rPr>
        <w:t>5/5=100%（F0045）</w:t>
      </w:r>
      <w:r>
        <w:rPr>
          <w:rFonts w:ascii="Microsoft JhengHei" w:hAnsi="Microsoft JhengHei" w:eastAsia="Microsoft JhengHei"/>
          <w:color w:val="202938"/>
          <w:sz w:val="21"/>
        </w:rPr>
        <w:t xml:space="preserve">門檻；樣例結論為 </w:t>
      </w:r>
      <w:r>
        <w:rPr>
          <w:rFonts w:ascii="Microsoft JhengHei" w:hAnsi="Microsoft JhengHei" w:eastAsia="Microsoft JhengHei"/>
          <w:b/>
          <w:color w:val="202938"/>
          <w:sz w:val="21"/>
        </w:rPr>
        <w:t>HOLD（F0046）</w:t>
      </w:r>
      <w:r>
        <w:rPr>
          <w:rFonts w:ascii="Microsoft JhengHei" w:hAnsi="Microsoft JhengHei" w:eastAsia="Microsoft JhengHei"/>
          <w:color w:val="202938"/>
          <w:sz w:val="21"/>
        </w:rPr>
        <w:t>，補齊紀錄與回饋責任設計後才可供有權者審議。</w:t>
      </w:r>
    </w:p>
    <w:p>
      <w:pPr>
        <w:pStyle w:val="Heading2"/>
      </w:pPr>
      <w:r>
        <w:rPr>
          <w:rFonts w:ascii="Microsoft JhengHei" w:hAnsi="Microsoft JhengHei" w:eastAsia="Microsoft JhengHei"/>
          <w:color w:val="202938"/>
          <w:sz w:val="24"/>
        </w:rPr>
        <w:t>1. 官方要求、問題與範圍</w:t>
      </w:r>
    </w:p>
    <w:p>
      <w:r>
        <w:rPr>
          <w:rFonts w:ascii="Microsoft JhengHei" w:hAnsi="Microsoft JhengHei" w:eastAsia="Microsoft JhengHei"/>
          <w:color w:val="202938"/>
          <w:sz w:val="21"/>
        </w:rPr>
        <w:t>官方《TTQS 人才發展品質管理系統【查核佐證文件資料表】-訓練機構版》第 1 頁列有：「課程產品及流程的檢討分析。」本報告回答：在明確標為合成的志工關懷情境中，哪些課程產品較貼近可用示例訊號？設計與生命週期有哪些可查控制點，尚缺哪些證據？</w:t>
      </w:r>
    </w:p>
    <w:p>
      <w:r>
        <w:rPr>
          <w:rFonts w:ascii="Microsoft JhengHei" w:hAnsi="Microsoft JhengHei" w:eastAsia="Microsoft JhengHei"/>
          <w:b/>
          <w:color w:val="202938"/>
          <w:sz w:val="21"/>
        </w:rPr>
        <w:t>範圍：</w:t>
      </w:r>
      <w:r>
        <w:rPr>
          <w:rFonts w:ascii="Microsoft JhengHei" w:hAnsi="Microsoft JhengHei" w:eastAsia="Microsoft JhengHei"/>
          <w:color w:val="202938"/>
          <w:sz w:val="21"/>
        </w:rPr>
        <w:t xml:space="preserve"> 產品方案比較、流程設計檢核、算式、限制、修正與追蹤。</w:t>
      </w:r>
      <w:r>
        <w:rPr>
          <w:rFonts w:ascii="Microsoft JhengHei" w:hAnsi="Microsoft JhengHei" w:eastAsia="Microsoft JhengHei"/>
          <w:b/>
          <w:color w:val="202938"/>
          <w:sz w:val="21"/>
        </w:rPr>
        <w:t>不在範圍：</w:t>
      </w:r>
      <w:r>
        <w:rPr>
          <w:rFonts w:ascii="Microsoft JhengHei" w:hAnsi="Microsoft JhengHei" w:eastAsia="Microsoft JhengHei"/>
          <w:color w:val="202938"/>
          <w:sz w:val="21"/>
        </w:rPr>
        <w:t xml:space="preserve"> 實際開課、真實招生或成效、群體需求比例、個案服務、機構整體績效、年度成長承諾、醫療／治療判斷或正式核定。沒有真實課程執行原件。</w:t>
      </w:r>
    </w:p>
    <w:p>
      <w:pPr>
        <w:pStyle w:val="Heading2"/>
      </w:pPr>
      <w:r>
        <w:rPr>
          <w:rFonts w:ascii="Microsoft JhengHei" w:hAnsi="Microsoft JhengHei" w:eastAsia="Microsoft JhengHei"/>
          <w:color w:val="202938"/>
          <w:sz w:val="24"/>
        </w:rPr>
        <w:t>2. 資料來源、樣本及方法</w:t>
      </w:r>
    </w:p>
    <w:p>
      <w:r>
        <w:rPr>
          <w:rFonts w:ascii="Microsoft JhengHei" w:hAnsi="Microsoft JhengHei" w:eastAsia="Microsoft JhengHei"/>
          <w:color w:val="202938"/>
          <w:sz w:val="21"/>
        </w:rPr>
        <w:t>本報告使用一筆 0003 合成回覆作為情境輸入，並比較三個假設課程方案；它不是協會實際問卷、開班紀錄或績效資料。下表逐欄界定計算口徑及資料邊界，所有引用值均可回到合成清冊的 fact_id。</w:t>
      </w:r>
    </w:p>
    <w:p>
      <w:r>
        <w:br w:type="page"/>
      </w:r>
    </w:p>
    <w:tbl>
      <w:tblPr>
        <w:tblStyle w:val="TableGrid"/>
        <w:tblW w:type="auto" w:w="0"/>
        <w:jc w:val="center"/>
        <w:tblLayout w:type="fixed"/>
        <w:tblLook w:firstColumn="1" w:firstRow="1" w:lastColumn="0" w:lastRow="0" w:noHBand="0" w:noVBand="1" w:val="04A0"/>
      </w:tblPr>
      <w:tblGrid>
        <w:gridCol w:w="1941"/>
        <w:gridCol w:w="1981"/>
        <w:gridCol w:w="1981"/>
        <w:gridCol w:w="1981"/>
        <w:gridCol w:w="1981"/>
      </w:tblGrid>
      <w:tr>
        <w:trPr>
          <w:cantSplit/>
          <w:tblHeader w:val="true"/>
        </w:trPr>
        <w:tc>
          <w:tcPr>
            <w:tcW w:type="dxa" w:w="1941"/>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分析欄位</w:t>
            </w:r>
          </w:p>
        </w:tc>
        <w:tc>
          <w:tcPr>
            <w:tcW w:type="dxa" w:w="1981"/>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定義與單位／分母</w:t>
            </w:r>
          </w:p>
        </w:tc>
        <w:tc>
          <w:tcPr>
            <w:tcW w:type="dxa" w:w="1981"/>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本例來源及定位</w:t>
            </w:r>
          </w:p>
        </w:tc>
        <w:tc>
          <w:tcPr>
            <w:tcW w:type="dxa" w:w="1981"/>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納入／排除規則</w:t>
            </w:r>
          </w:p>
        </w:tc>
        <w:tc>
          <w:tcPr>
            <w:tcW w:type="dxa" w:w="1981"/>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限制及可支持的結論</w:t>
            </w:r>
          </w:p>
        </w:tc>
      </w:tr>
      <w:tr>
        <w:trPr>
          <w:cantSplit/>
        </w:trPr>
        <w:tc>
          <w:tcPr>
            <w:tcW w:type="dxa" w:w="194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0003 情境輸入（總體）</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一筆完整合成回覆；逐項 fact 值是描述性類別或序位評分，沒有抽樣母數可推論母體</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0003 SYNTHETIC replacement register F0001–F0009；本例只引用，不複製問卷</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僅納入該筆標示為 SAMPLE 的情境欄位；排除真人樣本、機構比率、外部統計及實際服務結果</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只能建立示範限制與方案情境；不得稱為需求調查結果或協會現況</w:t>
            </w:r>
          </w:p>
        </w:tc>
      </w:tr>
      <w:tr>
        <w:trPr>
          <w:cantSplit/>
        </w:trPr>
        <w:tc>
          <w:tcPr>
            <w:tcW w:type="dxa" w:w="194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0003 欄位 Q3_NEED1：服務流程與紀錄</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單筆合成類別訊號；無母體推論分母，不計比例</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0003 清冊 SYN-005（field=Q3_NEED1）；本件清冊 F0002</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僅引用該筆 SAMPLE 情境輸入；排除真人樣本、機構比例、外部統計及實際服務結果</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僅供三方案設計情境；不代表協會實際提供或執行該服務</w:t>
            </w:r>
          </w:p>
        </w:tc>
      </w:tr>
      <w:tr>
        <w:trPr>
          <w:cantSplit/>
        </w:trPr>
        <w:tc>
          <w:tcPr>
            <w:tcW w:type="dxa" w:w="194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0003 欄位 Q3_NEED2：溝通與轉介界線</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單筆合成類別訊號；無母體推論分母，不計比例</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0003 清冊 SYN-006（field=Q3_NEED2）；本件清冊 F0003</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僅引用該筆 SAMPLE 情境輸入；排除真人樣本、機構比例、外部統計及實際服務結果</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僅供三方案設計情境；不代表協會實際提供轉介或已執行服務</w:t>
            </w:r>
          </w:p>
        </w:tc>
      </w:tr>
      <w:tr>
        <w:trPr>
          <w:cantSplit/>
        </w:trPr>
        <w:tc>
          <w:tcPr>
            <w:tcW w:type="dxa" w:w="194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0003 欄位 Q3_NEED3：志工合作與安全</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單筆合成類別訊號；無母體推論分母，不計比例</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0003 清冊 SYN-007（field=Q3_NEED3）；本件清冊 F0004</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僅引用該筆 SAMPLE 情境輸入；排除真人樣本、機構比例、外部統計及實際服務結果</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僅供三方案設計情境；不代表協會實際提供或執行該服務</w:t>
            </w:r>
          </w:p>
        </w:tc>
      </w:tr>
      <w:tr>
        <w:trPr>
          <w:cantSplit/>
        </w:trPr>
        <w:tc>
          <w:tcPr>
            <w:tcW w:type="dxa" w:w="194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0003 欄位 Q4_URG：急迫度</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單筆合成序位評分 4/5；不代表母體平均或實際需求程度</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0003 清冊 SYN-008（field=Q4_URG）；本件清冊 F0005</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僅引用該筆 SAMPLE 情境輸入；排除真人樣本、機構比例及外部統計</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僅供三方案設計情境；不得推論協會需求或實際服務</w:t>
            </w:r>
          </w:p>
        </w:tc>
      </w:tr>
      <w:tr>
        <w:trPr>
          <w:cantSplit/>
        </w:trPr>
        <w:tc>
          <w:tcPr>
            <w:tcW w:type="dxa" w:w="194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0003 欄位 Q5_CONF：自信程度</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單筆合成序位評分 2/5；不代表母體平均或課程成效</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0003 清冊 SYN-009（field=Q5_CONF）；本件清冊 F0006</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僅引用該筆 SAMPLE 情境輸入；排除真人樣本、機構比例及外部統計</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僅供三方案設計情境；不得推論真實信心或訓練成效</w:t>
            </w:r>
          </w:p>
        </w:tc>
      </w:tr>
      <w:tr>
        <w:trPr>
          <w:cantSplit/>
        </w:trPr>
        <w:tc>
          <w:tcPr>
            <w:tcW w:type="dxa" w:w="194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0003 欄位 Q7_MODE：偏好方式</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單筆合成類別選擇：面授；無母體推論分母，不計比例</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0003 清冊 SYN-010（field=Q7_MODE）；本件清冊 F0007</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僅引用該筆 SAMPLE 情境輸入；不外推至其他志工或班次</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僅供三方案設計情境；不得宣稱協會已排課</w:t>
            </w:r>
          </w:p>
        </w:tc>
      </w:tr>
      <w:tr>
        <w:trPr>
          <w:cantSplit/>
        </w:trPr>
        <w:tc>
          <w:tcPr>
            <w:tcW w:type="dxa" w:w="194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0003 欄位 Q9_DURATION：偏好時長</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單筆合成回答：單次 3 小時；不代表實際授課時數</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0003 清冊 SYN-011（field=Q9_DURATION）；本件清冊 F0008</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僅引用該筆 SAMPLE 情境輸入；排除實際班次、出席與授課紀錄</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僅供三方案設計情境；不得宣稱協會已授課</w:t>
            </w:r>
          </w:p>
        </w:tc>
      </w:tr>
      <w:tr>
        <w:trPr>
          <w:cantSplit/>
        </w:trPr>
        <w:tc>
          <w:tcPr>
            <w:tcW w:type="dxa" w:w="194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0003 欄位 Q10_BARRIER：參與障礙</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單筆合成類別訊號：交通距離／時間；無母體推論分母，不計比例</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0003 清冊 SYN-012（field=Q10_BARRIER）；本件清冊 F0009</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僅引用該筆 SAMPLE 情境輸入；排除真人出席、地點及交通資料</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僅供三方案設計情境；不得推論實際參與障礙</w:t>
            </w:r>
          </w:p>
        </w:tc>
      </w:tr>
      <w:tr>
        <w:trPr>
          <w:cantSplit/>
        </w:trPr>
        <w:tc>
          <w:tcPr>
            <w:tcW w:type="dxa" w:w="194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方案加權分數</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每項準則以 1–5 分評分；加權總分＝Σ（權重百分比×評分）÷100；單位為 5 分制分數，分母為總權重 100</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準則與權重 F0013–F0018；方案逐項分數 F0019–F0033；總分 A/B/C 為 F0034–F0036；重算見 §4.3</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三方案採同一五準則、同一權重與同一 1–5 量尺；不得混入未定義成本、實際成效或機構資源</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分數只比較此合成方案；不能證明成本效益、真實可行性或方案已獲選</w:t>
            </w:r>
          </w:p>
        </w:tc>
      </w:tr>
      <w:tr>
        <w:trPr>
          <w:cantSplit/>
        </w:trPr>
        <w:tc>
          <w:tcPr>
            <w:tcW w:type="dxa" w:w="194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方案間分差</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方案分數相減，單位為 5 分制分數差，不設比例分母</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A−B 與 A−C 分別為 F0037、F0038；§4.3</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只比較同一量尺的加權總分；不把分差當百分比或效益值</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反映排序距離，不代表統計顯著或實際成效差</w:t>
            </w:r>
          </w:p>
        </w:tc>
      </w:tr>
      <w:tr>
        <w:trPr>
          <w:cantSplit/>
        </w:trPr>
        <w:tc>
          <w:tcPr>
            <w:tcW w:type="dxa" w:w="194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五項設計完整度</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完成且可追溯的設計欄位數 ÷ 5 ×100%；單位為百分比，分母固定 5</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五項內容及 4/5 結果 F0039–F0045；§6 檢核表</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僅限需求、目標、練習、界線、紀錄／回饋五項；未完成項按未完成計</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4/5=80% 未達 5/5=100% 門檻，支持 SAMPLE/HOLD；與十項流程檢核是不同構念</w:t>
            </w:r>
          </w:p>
        </w:tc>
      </w:tr>
      <w:tr>
        <w:trPr>
          <w:cantSplit/>
        </w:trPr>
        <w:tc>
          <w:tcPr>
            <w:tcW w:type="dxa" w:w="194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十項流程檢核完整率</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符合逐項通過準則的檢核數 ÷ 固定 10 項 ×100%；單位為百分比，分母固定 10</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項目定義 F0115–F0124；T0 狀態 F0125–F0134；T1 狀態 F0135–F0144；§4.4 明細表</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T0、T1 必須用相同十項清單、條件及範圍；沒有記錄 locator 即視為未完成</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本例為無日期合成演練；不能推論協會流程已改善或實際執行</w:t>
            </w:r>
          </w:p>
        </w:tc>
      </w:tr>
      <w:tr>
        <w:trPr>
          <w:cantSplit/>
        </w:trPr>
        <w:tc>
          <w:tcPr>
            <w:tcW w:type="dxa" w:w="194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差距</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差距＝實績－目標；百分比指標的差距以百分點表示，不另設除數</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目標 F0103、T0/T1 比率 F0105/F0107、差距 F0108/F0109；§4.4</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只比較同指標、同分母、同單位和同範圍；分母或規則改變即 HOLD</w:t>
            </w:r>
          </w:p>
        </w:tc>
        <w:tc>
          <w:tcPr>
            <w:tcW w:type="dxa" w:w="198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負值代表低於目標；不得將百分點差距稱為百分比改善</w:t>
            </w:r>
          </w:p>
        </w:tc>
      </w:tr>
      <w:tr>
        <w:trPr>
          <w:cantSplit/>
        </w:trPr>
        <w:tc>
          <w:tcPr>
            <w:tcW w:type="dxa" w:w="194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相對改善率／絕對變化</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相對改善率＝（改善後－改善前）÷改善前；絕對變化＝改善後－改善前。前者為相對比例，後者以百分點表示</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F0110–F0111；§4.4</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僅在改善前非零且 T0/T1 可比時計算；零基準標 N/A，不同口徑標 HOLD</w:t>
            </w:r>
          </w:p>
        </w:tc>
        <w:tc>
          <w:tcPr>
            <w:tcW w:type="dxa" w:w="198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33.33% 是此合成算例的相對變化；不等於達標、因果效果或真實績效</w:t>
            </w:r>
          </w:p>
        </w:tc>
      </w:tr>
    </w:tbl>
    <w:p>
      <w:pPr>
        <w:spacing w:after="20"/>
      </w:pPr>
    </w:p>
    <w:p>
      <w:r>
        <w:rPr>
          <w:rFonts w:ascii="Microsoft JhengHei" w:hAnsi="Microsoft JhengHei" w:eastAsia="Microsoft JhengHei"/>
          <w:color w:val="202938"/>
          <w:sz w:val="21"/>
        </w:rPr>
        <w:t>樣本納入一筆合成情境及三個同口徑方案；排除真實學員、班次、成本、授課、出席、回饋、改善或核准資料。所有分數、比例與判斷均為 SAMPLE／SYNTHETIC。方法是逐項回到 fact_id 重算、比較差距並標示限制；缺少真實來源時不得轉列 REAL。</w:t>
      </w:r>
    </w:p>
    <w:p>
      <w:pPr>
        <w:pStyle w:val="Heading2"/>
      </w:pPr>
      <w:r>
        <w:rPr>
          <w:rFonts w:ascii="Microsoft JhengHei" w:hAnsi="Microsoft JhengHei" w:eastAsia="Microsoft JhengHei"/>
          <w:color w:val="202938"/>
          <w:sz w:val="24"/>
        </w:rPr>
        <w:t>3. 三個不同產品／流程方案</w:t>
      </w:r>
    </w:p>
    <w:p>
      <w:r>
        <w:rPr>
          <w:rFonts w:ascii="Microsoft JhengHei" w:hAnsi="Microsoft JhengHei" w:eastAsia="Microsoft JhengHei"/>
          <w:color w:val="202938"/>
          <w:sz w:val="21"/>
        </w:rPr>
        <w:t>方案均為新寫的假設概念，不是協會既有課程。</w:t>
      </w:r>
    </w:p>
    <w:tbl>
      <w:tblPr>
        <w:tblStyle w:val="TableGrid"/>
        <w:tblW w:type="auto" w:w="0"/>
        <w:jc w:val="center"/>
        <w:tblLayout w:type="fixed"/>
        <w:tblLook w:firstColumn="1" w:firstRow="1" w:lastColumn="0" w:lastRow="0" w:noHBand="0" w:noVBand="1" w:val="04A0"/>
      </w:tblPr>
      <w:tblGrid>
        <w:gridCol w:w="1565"/>
        <w:gridCol w:w="2767"/>
        <w:gridCol w:w="2767"/>
        <w:gridCol w:w="2767"/>
      </w:tblGrid>
      <w:tr>
        <w:trPr>
          <w:cantSplit/>
          <w:tblHeader w:val="true"/>
        </w:trPr>
        <w:tc>
          <w:tcPr>
            <w:tcW w:type="dxa" w:w="1565"/>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代碼</w:t>
            </w:r>
          </w:p>
        </w:tc>
        <w:tc>
          <w:tcPr>
            <w:tcW w:type="dxa" w:w="2767"/>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SAMPLE 課程產品與流程</w:t>
            </w:r>
          </w:p>
        </w:tc>
        <w:tc>
          <w:tcPr>
            <w:tcW w:type="dxa" w:w="2767"/>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練習及可觀察輸出</w:t>
            </w:r>
          </w:p>
        </w:tc>
        <w:tc>
          <w:tcPr>
            <w:tcW w:type="dxa" w:w="2767"/>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界線</w:t>
            </w:r>
          </w:p>
        </w:tc>
      </w:tr>
      <w:tr>
        <w:trPr>
          <w:cantSplit/>
        </w:trPr>
        <w:tc>
          <w:tcPr>
            <w:tcW w:type="dxa" w:w="1565"/>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A（F0010）</w:t>
            </w:r>
          </w:p>
        </w:tc>
        <w:tc>
          <w:tcPr>
            <w:tcW w:type="dxa" w:w="2767"/>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服務前確認（F0010）、過程紀錄（F0073）、結束交接（F0074）</w:t>
            </w:r>
          </w:p>
        </w:tc>
        <w:tc>
          <w:tcPr>
            <w:tcW w:type="dxa" w:w="2767"/>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虛構情境中用清單練習確認、記錄、交接；同儕按清單回饋</w:t>
            </w:r>
          </w:p>
        </w:tc>
        <w:tc>
          <w:tcPr>
            <w:tcW w:type="dxa" w:w="2767"/>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不作診斷、治療或個案處置；超出志工角色即停止並依實際制度轉介</w:t>
            </w:r>
          </w:p>
        </w:tc>
      </w:tr>
      <w:tr>
        <w:trPr>
          <w:cantSplit/>
        </w:trPr>
        <w:tc>
          <w:tcPr>
            <w:tcW w:type="dxa" w:w="1565"/>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B（F0011）</w:t>
            </w:r>
          </w:p>
        </w:tc>
        <w:tc>
          <w:tcPr>
            <w:tcW w:type="dxa" w:w="2767"/>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溝通（F0011）、傾聽（F0075）及轉介界線（F0076）</w:t>
            </w:r>
          </w:p>
        </w:tc>
        <w:tc>
          <w:tcPr>
            <w:tcW w:type="dxa" w:w="2767"/>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不含真人個案資料的情境演練，辨識澄清、停止承諾及轉交有權角色</w:t>
            </w:r>
          </w:p>
        </w:tc>
        <w:tc>
          <w:tcPr>
            <w:tcW w:type="dxa" w:w="2767"/>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不承諾結果、不聲稱已有轉介服務</w:t>
            </w:r>
          </w:p>
        </w:tc>
      </w:tr>
      <w:tr>
        <w:trPr>
          <w:cantSplit/>
        </w:trPr>
        <w:tc>
          <w:tcPr>
            <w:tcW w:type="dxa" w:w="1565"/>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C（F0012）</w:t>
            </w:r>
          </w:p>
        </w:tc>
        <w:tc>
          <w:tcPr>
            <w:tcW w:type="dxa" w:w="2767"/>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志工合作（F0012）、分工（F0077）、集合確認（F0078）、異常通報（F0079）及結束檢點（F0080）</w:t>
            </w:r>
          </w:p>
        </w:tc>
        <w:tc>
          <w:tcPr>
            <w:tcW w:type="dxa" w:w="2767"/>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桌上演練分工、集合確認、異常通報及結束檢點</w:t>
            </w:r>
          </w:p>
        </w:tc>
        <w:tc>
          <w:tcPr>
            <w:tcW w:type="dxa" w:w="2767"/>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不描述真實活動／事故，不創設機構規章或外部認證</w:t>
            </w:r>
          </w:p>
        </w:tc>
      </w:tr>
    </w:tbl>
    <w:p>
      <w:pPr>
        <w:spacing w:after="20"/>
      </w:pPr>
    </w:p>
    <w:p>
      <w:r>
        <w:br w:type="page"/>
      </w:r>
    </w:p>
    <w:p>
      <w:pPr>
        <w:pStyle w:val="Heading2"/>
      </w:pPr>
      <w:r>
        <w:rPr>
          <w:rFonts w:ascii="Microsoft JhengHei" w:hAnsi="Microsoft JhengHei" w:eastAsia="Microsoft JhengHei"/>
          <w:color w:val="202938"/>
          <w:sz w:val="24"/>
        </w:rPr>
        <w:t>4. 加權比較</w:t>
      </w:r>
    </w:p>
    <w:p>
      <w:pPr>
        <w:pStyle w:val="Heading3"/>
      </w:pPr>
      <w:r>
        <w:rPr>
          <w:rFonts w:ascii="Microsoft JhengHei" w:hAnsi="Microsoft JhengHei" w:eastAsia="Microsoft JhengHei"/>
          <w:color w:val="202938"/>
          <w:sz w:val="28"/>
        </w:rPr>
        <w:t>4.1 準則、錨點及公式</w:t>
      </w:r>
    </w:p>
    <w:tbl>
      <w:tblPr>
        <w:tblStyle w:val="TableGrid"/>
        <w:tblW w:type="auto" w:w="0"/>
        <w:jc w:val="center"/>
        <w:tblLayout w:type="fixed"/>
        <w:tblLook w:firstColumn="1" w:firstRow="1" w:lastColumn="0" w:lastRow="0" w:noHBand="0" w:noVBand="1" w:val="04A0"/>
      </w:tblPr>
      <w:tblGrid>
        <w:gridCol w:w="3648"/>
        <w:gridCol w:w="2039"/>
        <w:gridCol w:w="4179"/>
      </w:tblGrid>
      <w:tr>
        <w:trPr>
          <w:cantSplit/>
          <w:tblHeader w:val="true"/>
        </w:trPr>
        <w:tc>
          <w:tcPr>
            <w:tcW w:type="dxa" w:w="3648"/>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準則</w:t>
            </w:r>
          </w:p>
        </w:tc>
        <w:tc>
          <w:tcPr>
            <w:tcW w:type="dxa" w:w="2039"/>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權重</w:t>
            </w:r>
          </w:p>
        </w:tc>
        <w:tc>
          <w:tcPr>
            <w:tcW w:type="dxa" w:w="4179"/>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評量焦點</w:t>
            </w:r>
          </w:p>
        </w:tc>
      </w:tr>
      <w:tr>
        <w:trPr>
          <w:cantSplit/>
        </w:trPr>
        <w:tc>
          <w:tcPr>
            <w:tcW w:type="dxa" w:w="3648"/>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對應示例訊號（F0013）</w:t>
            </w:r>
          </w:p>
        </w:tc>
        <w:tc>
          <w:tcPr>
            <w:tcW w:type="dxa" w:w="2039"/>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30%</w:t>
            </w:r>
          </w:p>
        </w:tc>
        <w:tc>
          <w:tcPr>
            <w:tcW w:type="dxa" w:w="4179"/>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方案目的與有限示例訊號的直接連結</w:t>
            </w:r>
          </w:p>
        </w:tc>
      </w:tr>
      <w:tr>
        <w:trPr>
          <w:cantSplit/>
        </w:trPr>
        <w:tc>
          <w:tcPr>
            <w:tcW w:type="dxa" w:w="3648"/>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小型志工團隊可行性（F0014）</w:t>
            </w:r>
          </w:p>
        </w:tc>
        <w:tc>
          <w:tcPr>
            <w:tcW w:type="dxa" w:w="2039"/>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25%</w:t>
            </w:r>
          </w:p>
        </w:tc>
        <w:tc>
          <w:tcPr>
            <w:tcW w:type="dxa" w:w="4179"/>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準備量及小組練習是否精簡；真實人力仍須核實</w:t>
            </w:r>
          </w:p>
        </w:tc>
      </w:tr>
      <w:tr>
        <w:trPr>
          <w:cantSplit/>
        </w:trPr>
        <w:tc>
          <w:tcPr>
            <w:tcW w:type="dxa" w:w="3648"/>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角色界線與安全（F0015）</w:t>
            </w:r>
          </w:p>
        </w:tc>
        <w:tc>
          <w:tcPr>
            <w:tcW w:type="dxa" w:w="2039"/>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20%</w:t>
            </w:r>
          </w:p>
        </w:tc>
        <w:tc>
          <w:tcPr>
            <w:tcW w:type="dxa" w:w="4179"/>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是否避免越權承諾或專業處置</w:t>
            </w:r>
          </w:p>
        </w:tc>
      </w:tr>
      <w:tr>
        <w:trPr>
          <w:cantSplit/>
        </w:trPr>
        <w:tc>
          <w:tcPr>
            <w:tcW w:type="dxa" w:w="3648"/>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可觀察練習與回饋（F0016）</w:t>
            </w:r>
          </w:p>
        </w:tc>
        <w:tc>
          <w:tcPr>
            <w:tcW w:type="dxa" w:w="2039"/>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15%</w:t>
            </w:r>
          </w:p>
        </w:tc>
        <w:tc>
          <w:tcPr>
            <w:tcW w:type="dxa" w:w="4179"/>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是否可觀察學習行為並留下回饋</w:t>
            </w:r>
          </w:p>
        </w:tc>
      </w:tr>
      <w:tr>
        <w:trPr>
          <w:cantSplit/>
        </w:trPr>
        <w:tc>
          <w:tcPr>
            <w:tcW w:type="dxa" w:w="3648"/>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時間及參與可及性（F0017）</w:t>
            </w:r>
          </w:p>
        </w:tc>
        <w:tc>
          <w:tcPr>
            <w:tcW w:type="dxa" w:w="2039"/>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10%</w:t>
            </w:r>
          </w:p>
        </w:tc>
        <w:tc>
          <w:tcPr>
            <w:tcW w:type="dxa" w:w="4179"/>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與單筆示例偏好的相合程度，不外推他人</w:t>
            </w:r>
          </w:p>
        </w:tc>
      </w:tr>
    </w:tbl>
    <w:p>
      <w:pPr>
        <w:spacing w:after="20"/>
      </w:pPr>
    </w:p>
    <w:p>
      <w:r>
        <w:rPr>
          <w:rFonts w:ascii="Microsoft JhengHei" w:hAnsi="Microsoft JhengHei" w:eastAsia="Microsoft JhengHei"/>
          <w:color w:val="202938"/>
          <w:sz w:val="21"/>
        </w:rPr>
        <w:t>評分錨點（F0018）：1＝明顯不合；3＝部分符合但需補設計；5＝概念直接符合且可設計可觀察練習；2、4 介於相鄰錨點。權重合計 100%（F0064）。</w:t>
      </w:r>
    </w:p>
    <w:p>
      <w:r>
        <w:rPr>
          <w:rFonts w:ascii="Microsoft JhengHei" w:hAnsi="Microsoft JhengHei" w:eastAsia="Microsoft JhengHei"/>
          <w:color w:val="202938"/>
          <w:sz w:val="21"/>
        </w:rPr>
        <w:t>共同比較假設：三方案採相同規劃時段：面對面、單次 3 小時；這兩項只沿用 0003 的合成答覆（F0007、F0008），並非協會實際班次（F0097）。為便於同尺度比較，假設三方案面對同一個人數未指定的志工小組及同一個尚未核實的場地；兩者都不是協會現況（F0098）。不假設帶領人力或設備已可用；實際配置維持 UNKNOWN（F0099）。因此 25% 可行性分數只比較共同 SAMPLE 框架下的相對準備量與練習設計，不代表協會已有資源、場地或排課能力；真實條件不同時須取得來源後重評（F0100）。</w:t>
      </w:r>
    </w:p>
    <w:p>
      <w:pPr>
        <w:pStyle w:val="Heading3"/>
      </w:pPr>
      <w:r>
        <w:rPr>
          <w:rFonts w:ascii="Microsoft JhengHei" w:hAnsi="Microsoft JhengHei" w:eastAsia="Microsoft JhengHei"/>
          <w:color w:val="202938"/>
          <w:sz w:val="28"/>
        </w:rPr>
        <w:t>4.2 每格評分與理由</w:t>
      </w:r>
    </w:p>
    <w:tbl>
      <w:tblPr>
        <w:tblStyle w:val="TableGrid"/>
        <w:tblW w:type="auto" w:w="0"/>
        <w:jc w:val="center"/>
        <w:tblLayout w:type="fixed"/>
        <w:tblLook w:firstColumn="1" w:firstRow="1" w:lastColumn="0" w:lastRow="0" w:noHBand="0" w:noVBand="1" w:val="04A0"/>
      </w:tblPr>
      <w:tblGrid>
        <w:gridCol w:w="1718"/>
        <w:gridCol w:w="2716"/>
        <w:gridCol w:w="2716"/>
        <w:gridCol w:w="2716"/>
      </w:tblGrid>
      <w:tr>
        <w:trPr>
          <w:cantSplit/>
          <w:tblHeader w:val="true"/>
        </w:trPr>
        <w:tc>
          <w:tcPr>
            <w:tcW w:type="dxa" w:w="1718"/>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準則</w:t>
            </w:r>
          </w:p>
        </w:tc>
        <w:tc>
          <w:tcPr>
            <w:tcW w:type="dxa" w:w="2716"/>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A</w:t>
            </w:r>
          </w:p>
        </w:tc>
        <w:tc>
          <w:tcPr>
            <w:tcW w:type="dxa" w:w="2716"/>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B</w:t>
            </w:r>
          </w:p>
        </w:tc>
        <w:tc>
          <w:tcPr>
            <w:tcW w:type="dxa" w:w="2716"/>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C</w:t>
            </w:r>
          </w:p>
        </w:tc>
      </w:tr>
      <w:tr>
        <w:trPr>
          <w:cantSplit/>
        </w:trPr>
        <w:tc>
          <w:tcPr>
            <w:tcW w:type="dxa" w:w="1718"/>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訊號對應（30%）</w:t>
            </w:r>
          </w:p>
        </w:tc>
        <w:tc>
          <w:tcPr>
            <w:tcW w:type="dxa" w:w="2716"/>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b/>
                <w:color w:val="202938"/>
                <w:sz w:val="19"/>
              </w:rPr>
              <w:t>5（F0019）</w:t>
            </w:r>
            <w:r>
              <w:rPr>
                <w:rFonts w:ascii="Microsoft JhengHei" w:hAnsi="Microsoft JhengHei" w:eastAsia="Microsoft JhengHei"/>
                <w:color w:val="202938"/>
                <w:sz w:val="19"/>
              </w:rPr>
              <w:t>：結合流程／紀錄並連到交接</w:t>
            </w:r>
          </w:p>
        </w:tc>
        <w:tc>
          <w:tcPr>
            <w:tcW w:type="dxa" w:w="2716"/>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b/>
                <w:color w:val="202938"/>
                <w:sz w:val="19"/>
              </w:rPr>
              <w:t>4（F0024）</w:t>
            </w:r>
            <w:r>
              <w:rPr>
                <w:rFonts w:ascii="Microsoft JhengHei" w:hAnsi="Microsoft JhengHei" w:eastAsia="Microsoft JhengHei"/>
                <w:color w:val="202938"/>
                <w:sz w:val="19"/>
              </w:rPr>
              <w:t>：直接處理溝通／轉介；紀錄為次要</w:t>
            </w:r>
          </w:p>
        </w:tc>
        <w:tc>
          <w:tcPr>
            <w:tcW w:type="dxa" w:w="2716"/>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b/>
                <w:color w:val="202938"/>
                <w:sz w:val="19"/>
              </w:rPr>
              <w:t>3（F0029）</w:t>
            </w:r>
            <w:r>
              <w:rPr>
                <w:rFonts w:ascii="Microsoft JhengHei" w:hAnsi="Microsoft JhengHei" w:eastAsia="Microsoft JhengHei"/>
                <w:color w:val="202938"/>
                <w:sz w:val="19"/>
              </w:rPr>
              <w:t>：符合合作／安全；紀錄連結較間接</w:t>
            </w:r>
          </w:p>
        </w:tc>
      </w:tr>
      <w:tr>
        <w:trPr>
          <w:cantSplit/>
        </w:trPr>
        <w:tc>
          <w:tcPr>
            <w:tcW w:type="dxa" w:w="1718"/>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志工可行性（25%）</w:t>
            </w:r>
          </w:p>
        </w:tc>
        <w:tc>
          <w:tcPr>
            <w:tcW w:type="dxa" w:w="2716"/>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b/>
                <w:color w:val="202938"/>
                <w:sz w:val="19"/>
              </w:rPr>
              <w:t>4（F0020）</w:t>
            </w:r>
            <w:r>
              <w:rPr>
                <w:rFonts w:ascii="Microsoft JhengHei" w:hAnsi="Microsoft JhengHei" w:eastAsia="Microsoft JhengHei"/>
                <w:color w:val="202938"/>
                <w:sz w:val="19"/>
              </w:rPr>
              <w:t>：清單及同儕練習精簡，仍需確認帶領人力</w:t>
            </w:r>
          </w:p>
        </w:tc>
        <w:tc>
          <w:tcPr>
            <w:tcW w:type="dxa" w:w="2716"/>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b/>
                <w:color w:val="202938"/>
                <w:sz w:val="19"/>
              </w:rPr>
              <w:t>4（F0025）</w:t>
            </w:r>
            <w:r>
              <w:rPr>
                <w:rFonts w:ascii="Microsoft JhengHei" w:hAnsi="Microsoft JhengHei" w:eastAsia="Microsoft JhengHei"/>
                <w:color w:val="202938"/>
                <w:sz w:val="19"/>
              </w:rPr>
              <w:t>：可分組演練，需準備情境及界線提示</w:t>
            </w:r>
          </w:p>
        </w:tc>
        <w:tc>
          <w:tcPr>
            <w:tcW w:type="dxa" w:w="2716"/>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b/>
                <w:color w:val="202938"/>
                <w:sz w:val="19"/>
              </w:rPr>
              <w:t>4（F0030）</w:t>
            </w:r>
            <w:r>
              <w:rPr>
                <w:rFonts w:ascii="Microsoft JhengHei" w:hAnsi="Microsoft JhengHei" w:eastAsia="Microsoft JhengHei"/>
                <w:color w:val="202938"/>
                <w:sz w:val="19"/>
              </w:rPr>
              <w:t>：桌上演練設備少，仍須核實場地／程序</w:t>
            </w:r>
          </w:p>
        </w:tc>
      </w:tr>
      <w:tr>
        <w:trPr>
          <w:cantSplit/>
        </w:trPr>
        <w:tc>
          <w:tcPr>
            <w:tcW w:type="dxa" w:w="1718"/>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界線安全（20%）</w:t>
            </w:r>
          </w:p>
        </w:tc>
        <w:tc>
          <w:tcPr>
            <w:tcW w:type="dxa" w:w="2716"/>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b/>
                <w:color w:val="202938"/>
                <w:sz w:val="19"/>
              </w:rPr>
              <w:t>5（F0021）</w:t>
            </w:r>
            <w:r>
              <w:rPr>
                <w:rFonts w:ascii="Microsoft JhengHei" w:hAnsi="Microsoft JhengHei" w:eastAsia="Microsoft JhengHei"/>
                <w:color w:val="202938"/>
                <w:sz w:val="19"/>
              </w:rPr>
              <w:t>：限確認、記錄、交接及依制度轉介</w:t>
            </w:r>
          </w:p>
        </w:tc>
        <w:tc>
          <w:tcPr>
            <w:tcW w:type="dxa" w:w="2716"/>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b/>
                <w:color w:val="202938"/>
                <w:sz w:val="19"/>
              </w:rPr>
              <w:t>5（F0026）</w:t>
            </w:r>
            <w:r>
              <w:rPr>
                <w:rFonts w:ascii="Microsoft JhengHei" w:hAnsi="Microsoft JhengHei" w:eastAsia="Microsoft JhengHei"/>
                <w:color w:val="202938"/>
                <w:sz w:val="19"/>
              </w:rPr>
              <w:t>：練習停止承諾並轉交有權角色</w:t>
            </w:r>
          </w:p>
        </w:tc>
        <w:tc>
          <w:tcPr>
            <w:tcW w:type="dxa" w:w="2716"/>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b/>
                <w:color w:val="202938"/>
                <w:sz w:val="19"/>
              </w:rPr>
              <w:t>5（F0031）</w:t>
            </w:r>
            <w:r>
              <w:rPr>
                <w:rFonts w:ascii="Microsoft JhengHei" w:hAnsi="Microsoft JhengHei" w:eastAsia="Microsoft JhengHei"/>
                <w:color w:val="202938"/>
                <w:sz w:val="19"/>
              </w:rPr>
              <w:t>：限合作／活動檢點，不涉及專業處置</w:t>
            </w:r>
          </w:p>
        </w:tc>
      </w:tr>
      <w:tr>
        <w:trPr>
          <w:cantSplit/>
        </w:trPr>
        <w:tc>
          <w:tcPr>
            <w:tcW w:type="dxa" w:w="1718"/>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可觀察練習（15%）</w:t>
            </w:r>
          </w:p>
        </w:tc>
        <w:tc>
          <w:tcPr>
            <w:tcW w:type="dxa" w:w="2716"/>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b/>
                <w:color w:val="202938"/>
                <w:sz w:val="19"/>
              </w:rPr>
              <w:t>4（F0022）</w:t>
            </w:r>
            <w:r>
              <w:rPr>
                <w:rFonts w:ascii="Microsoft JhengHei" w:hAnsi="Microsoft JhengHei" w:eastAsia="Microsoft JhengHei"/>
                <w:color w:val="202938"/>
                <w:sz w:val="19"/>
              </w:rPr>
              <w:t>：清單可觀察；保存及回饋責任待補</w:t>
            </w:r>
          </w:p>
        </w:tc>
        <w:tc>
          <w:tcPr>
            <w:tcW w:type="dxa" w:w="2716"/>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b/>
                <w:color w:val="202938"/>
                <w:sz w:val="19"/>
              </w:rPr>
              <w:t>4（F0027）</w:t>
            </w:r>
            <w:r>
              <w:rPr>
                <w:rFonts w:ascii="Microsoft JhengHei" w:hAnsi="Microsoft JhengHei" w:eastAsia="Microsoft JhengHei"/>
                <w:color w:val="202938"/>
                <w:sz w:val="19"/>
              </w:rPr>
              <w:t>：情境檢核可觀察；回饋留存待定</w:t>
            </w:r>
          </w:p>
        </w:tc>
        <w:tc>
          <w:tcPr>
            <w:tcW w:type="dxa" w:w="2716"/>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b/>
                <w:color w:val="202938"/>
                <w:sz w:val="19"/>
              </w:rPr>
              <w:t>3（F0032）</w:t>
            </w:r>
            <w:r>
              <w:rPr>
                <w:rFonts w:ascii="Microsoft JhengHei" w:hAnsi="Microsoft JhengHei" w:eastAsia="Microsoft JhengHei"/>
                <w:color w:val="202938"/>
                <w:sz w:val="19"/>
              </w:rPr>
              <w:t>：討論可觀察，個人評量設計較少</w:t>
            </w:r>
          </w:p>
        </w:tc>
      </w:tr>
      <w:tr>
        <w:trPr>
          <w:cantSplit/>
        </w:trPr>
        <w:tc>
          <w:tcPr>
            <w:tcW w:type="dxa" w:w="1718"/>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時間可及性（10%）</w:t>
            </w:r>
          </w:p>
        </w:tc>
        <w:tc>
          <w:tcPr>
            <w:tcW w:type="dxa" w:w="2716"/>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b/>
                <w:color w:val="202938"/>
                <w:sz w:val="19"/>
              </w:rPr>
              <w:t>4（F0023）</w:t>
            </w:r>
            <w:r>
              <w:rPr>
                <w:rFonts w:ascii="Microsoft JhengHei" w:hAnsi="Microsoft JhengHei" w:eastAsia="Microsoft JhengHei"/>
                <w:color w:val="202938"/>
                <w:sz w:val="19"/>
              </w:rPr>
              <w:t>：符合一筆形式偏好；交通／時段仍未知</w:t>
            </w:r>
          </w:p>
        </w:tc>
        <w:tc>
          <w:tcPr>
            <w:tcW w:type="dxa" w:w="2716"/>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b/>
                <w:color w:val="202938"/>
                <w:sz w:val="19"/>
              </w:rPr>
              <w:t>3（F0028）</w:t>
            </w:r>
            <w:r>
              <w:rPr>
                <w:rFonts w:ascii="Microsoft JhengHei" w:hAnsi="Microsoft JhengHei" w:eastAsia="Microsoft JhengHei"/>
                <w:color w:val="202938"/>
                <w:sz w:val="19"/>
              </w:rPr>
              <w:t>：面對面可行但較依賴互動時間</w:t>
            </w:r>
          </w:p>
        </w:tc>
        <w:tc>
          <w:tcPr>
            <w:tcW w:type="dxa" w:w="2716"/>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b/>
                <w:color w:val="202938"/>
                <w:sz w:val="19"/>
              </w:rPr>
              <w:t>3（F0033）</w:t>
            </w:r>
            <w:r>
              <w:rPr>
                <w:rFonts w:ascii="Microsoft JhengHei" w:hAnsi="Microsoft JhengHei" w:eastAsia="Microsoft JhengHei"/>
                <w:color w:val="202938"/>
                <w:sz w:val="19"/>
              </w:rPr>
              <w:t>：單筆偏好不能代表他人</w:t>
            </w:r>
          </w:p>
        </w:tc>
      </w:tr>
      <w:tr>
        <w:trPr>
          <w:cantSplit/>
        </w:trPr>
        <w:tc>
          <w:tcPr>
            <w:tcW w:type="dxa" w:w="1718"/>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b/>
                <w:color w:val="202938"/>
                <w:sz w:val="19"/>
              </w:rPr>
              <w:t>總分</w:t>
            </w:r>
          </w:p>
        </w:tc>
        <w:tc>
          <w:tcPr>
            <w:tcW w:type="dxa" w:w="2716"/>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b/>
                <w:color w:val="202938"/>
                <w:sz w:val="19"/>
              </w:rPr>
              <w:t>4.50/5（F0034）</w:t>
            </w:r>
          </w:p>
        </w:tc>
        <w:tc>
          <w:tcPr>
            <w:tcW w:type="dxa" w:w="2716"/>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b/>
                <w:color w:val="202938"/>
                <w:sz w:val="19"/>
              </w:rPr>
              <w:t>4.10/5（F0035）</w:t>
            </w:r>
          </w:p>
        </w:tc>
        <w:tc>
          <w:tcPr>
            <w:tcW w:type="dxa" w:w="2716"/>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b/>
                <w:color w:val="202938"/>
                <w:sz w:val="19"/>
              </w:rPr>
              <w:t>3.65/5（F0036）</w:t>
            </w:r>
          </w:p>
        </w:tc>
      </w:tr>
    </w:tbl>
    <w:p>
      <w:pPr>
        <w:spacing w:after="20"/>
      </w:pPr>
    </w:p>
    <w:p>
      <w:pPr>
        <w:pStyle w:val="Heading3"/>
      </w:pPr>
      <w:r>
        <w:rPr>
          <w:rFonts w:ascii="Microsoft JhengHei" w:hAnsi="Microsoft JhengHei" w:eastAsia="Microsoft JhengHei"/>
          <w:color w:val="202938"/>
          <w:sz w:val="28"/>
        </w:rPr>
        <w:t>4.3 逐步重算</w:t>
      </w:r>
    </w:p>
    <w:p>
      <w:pPr>
        <w:pStyle w:val="ListBullet"/>
      </w:pPr>
      <w:r>
        <w:rPr>
          <w:rFonts w:ascii="Microsoft JhengHei" w:hAnsi="Microsoft JhengHei" w:eastAsia="Microsoft JhengHei"/>
          <w:color w:val="202938"/>
          <w:sz w:val="21"/>
        </w:rPr>
        <w:t>A（F0034）＝(30×5＋25×4＋20×5＋15×4＋10×4)÷100＝(150＋100＋100＋60＋40)÷100＝</w:t>
      </w:r>
      <w:r>
        <w:rPr>
          <w:rFonts w:ascii="Microsoft JhengHei" w:hAnsi="Microsoft JhengHei" w:eastAsia="Microsoft JhengHei"/>
          <w:b/>
          <w:color w:val="202938"/>
          <w:sz w:val="21"/>
        </w:rPr>
        <w:t>4.50</w:t>
      </w:r>
      <w:r>
        <w:rPr>
          <w:rFonts w:ascii="Microsoft JhengHei" w:hAnsi="Microsoft JhengHei" w:eastAsia="Microsoft JhengHei"/>
          <w:color w:val="202938"/>
          <w:sz w:val="21"/>
        </w:rPr>
        <w:t>。</w:t>
      </w:r>
    </w:p>
    <w:p>
      <w:pPr>
        <w:pStyle w:val="ListBullet"/>
      </w:pPr>
      <w:r>
        <w:rPr>
          <w:rFonts w:ascii="Microsoft JhengHei" w:hAnsi="Microsoft JhengHei" w:eastAsia="Microsoft JhengHei"/>
          <w:color w:val="202938"/>
          <w:sz w:val="21"/>
        </w:rPr>
        <w:t>B（F0035）＝(30×4＋25×4＋20×5＋15×4＋10×3)÷100＝(120＋100＋100＋60＋30)÷100＝</w:t>
      </w:r>
      <w:r>
        <w:rPr>
          <w:rFonts w:ascii="Microsoft JhengHei" w:hAnsi="Microsoft JhengHei" w:eastAsia="Microsoft JhengHei"/>
          <w:b/>
          <w:color w:val="202938"/>
          <w:sz w:val="21"/>
        </w:rPr>
        <w:t>4.10</w:t>
      </w:r>
      <w:r>
        <w:rPr>
          <w:rFonts w:ascii="Microsoft JhengHei" w:hAnsi="Microsoft JhengHei" w:eastAsia="Microsoft JhengHei"/>
          <w:color w:val="202938"/>
          <w:sz w:val="21"/>
        </w:rPr>
        <w:t>。</w:t>
      </w:r>
    </w:p>
    <w:p>
      <w:pPr>
        <w:pStyle w:val="ListBullet"/>
      </w:pPr>
      <w:r>
        <w:rPr>
          <w:rFonts w:ascii="Microsoft JhengHei" w:hAnsi="Microsoft JhengHei" w:eastAsia="Microsoft JhengHei"/>
          <w:color w:val="202938"/>
          <w:sz w:val="21"/>
        </w:rPr>
        <w:t>C（F0036）＝(30×3＋25×4＋20×5＋15×3＋10×3)÷100＝(90＋100＋100＋45＋30)÷100＝</w:t>
      </w:r>
      <w:r>
        <w:rPr>
          <w:rFonts w:ascii="Microsoft JhengHei" w:hAnsi="Microsoft JhengHei" w:eastAsia="Microsoft JhengHei"/>
          <w:b/>
          <w:color w:val="202938"/>
          <w:sz w:val="21"/>
        </w:rPr>
        <w:t>3.65</w:t>
      </w:r>
      <w:r>
        <w:rPr>
          <w:rFonts w:ascii="Microsoft JhengHei" w:hAnsi="Microsoft JhengHei" w:eastAsia="Microsoft JhengHei"/>
          <w:color w:val="202938"/>
          <w:sz w:val="21"/>
        </w:rPr>
        <w:t>。</w:t>
      </w:r>
    </w:p>
    <w:p>
      <w:pPr>
        <w:pStyle w:val="ListBullet"/>
      </w:pPr>
      <w:r>
        <w:rPr>
          <w:rFonts w:ascii="Microsoft JhengHei" w:hAnsi="Microsoft JhengHei" w:eastAsia="Microsoft JhengHei"/>
          <w:color w:val="202938"/>
          <w:sz w:val="21"/>
        </w:rPr>
        <w:t>A−B＝4.50−4.10＝</w:t>
      </w:r>
      <w:r>
        <w:rPr>
          <w:rFonts w:ascii="Microsoft JhengHei" w:hAnsi="Microsoft JhengHei" w:eastAsia="Microsoft JhengHei"/>
          <w:b/>
          <w:color w:val="202938"/>
          <w:sz w:val="21"/>
        </w:rPr>
        <w:t>0.40 分（F0037）</w:t>
      </w:r>
      <w:r>
        <w:rPr>
          <w:rFonts w:ascii="Microsoft JhengHei" w:hAnsi="Microsoft JhengHei" w:eastAsia="Microsoft JhengHei"/>
          <w:color w:val="202938"/>
          <w:sz w:val="21"/>
        </w:rPr>
        <w:t>；A−C＝4.50−3.65＝</w:t>
      </w:r>
      <w:r>
        <w:rPr>
          <w:rFonts w:ascii="Microsoft JhengHei" w:hAnsi="Microsoft JhengHei" w:eastAsia="Microsoft JhengHei"/>
          <w:b/>
          <w:color w:val="202938"/>
          <w:sz w:val="21"/>
        </w:rPr>
        <w:t>0.85 分（F0038）</w:t>
      </w:r>
      <w:r>
        <w:rPr>
          <w:rFonts w:ascii="Microsoft JhengHei" w:hAnsi="Microsoft JhengHei" w:eastAsia="Microsoft JhengHei"/>
          <w:color w:val="202938"/>
          <w:sz w:val="21"/>
        </w:rPr>
        <w:t>。差值只描述這張表的合成評分。</w:t>
      </w:r>
    </w:p>
    <w:p>
      <w:pPr>
        <w:pStyle w:val="Heading3"/>
      </w:pPr>
      <w:r>
        <w:rPr>
          <w:rFonts w:ascii="Microsoft JhengHei" w:hAnsi="Microsoft JhengHei" w:eastAsia="Microsoft JhengHei"/>
          <w:color w:val="202938"/>
          <w:sz w:val="28"/>
        </w:rPr>
        <w:t>4.4 指標差距與改善率：完整 SAMPLE／SYNTHETIC 算例</w:t>
      </w:r>
    </w:p>
    <w:p>
      <w:r>
        <w:rPr>
          <w:rFonts w:ascii="Microsoft JhengHei" w:hAnsi="Microsoft JhengHei" w:eastAsia="Microsoft JhengHei"/>
          <w:color w:val="202938"/>
          <w:sz w:val="21"/>
        </w:rPr>
        <w:t>以下十項是為說明檢核口徑而設計的合成清單，並非原始點協會已執行的查核。每項只有在條件完整且有同範圍的記錄定位時才算完成；本例 locator 是合成鍵，不是真實原件。T0 與 T1 沿用同一項目、同一條件及分母 10。</w:t>
      </w:r>
    </w:p>
    <w:p>
      <w:r>
        <w:rPr>
          <w:rFonts w:ascii="Microsoft JhengHei" w:hAnsi="Microsoft JhengHei" w:eastAsia="Microsoft JhengHei"/>
          <w:color w:val="202938"/>
          <w:sz w:val="21"/>
        </w:rPr>
        <w:t>指標與事實鍵對照：本項完整率＝同一十項清單中完成且有定位的項目數÷10（F0101），T0、T1 使用相同十項與分母 10（F0102），本例目標 90%（F0103）。T0 為 6/10＝60%（F0104、F0105）；T1 為 8/10＝80%（F0106、F0107）。差距分別為 −30.00 與 −10.00 個百分點（F0108、F0109）；相對改善率為 33.33%，絕對變化為 +20.00 個百分點（F0110、F0111）。因 T1 低於 SAMPLE 目標，維持 SAMPLE／HOLD（F0112）；改善前為零時相對改善率標 N/A（F0113）；兩期清單、條件、分母或單位不同時先 HOLD 並重設可比基準（F0114）。本段所有數值均為 SAMPLE／SYNTHETIC，不代表協會實績。</w:t>
      </w:r>
    </w:p>
    <w:tbl>
      <w:tblPr>
        <w:tblStyle w:val="TableGrid"/>
        <w:tblW w:type="auto" w:w="0"/>
        <w:jc w:val="center"/>
        <w:tblLayout w:type="fixed"/>
        <w:tblLook w:firstColumn="1" w:firstRow="1" w:lastColumn="0" w:lastRow="0" w:noHBand="0" w:noVBand="1" w:val="04A0"/>
      </w:tblPr>
      <w:tblGrid>
        <w:gridCol w:w="1658"/>
        <w:gridCol w:w="2621"/>
        <w:gridCol w:w="1483"/>
        <w:gridCol w:w="1483"/>
        <w:gridCol w:w="2621"/>
      </w:tblGrid>
      <w:tr>
        <w:trPr>
          <w:cantSplit/>
          <w:tblHeader w:val="true"/>
        </w:trPr>
        <w:tc>
          <w:tcPr>
            <w:tcW w:type="dxa" w:w="1658"/>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項次／檢核項目</w:t>
            </w:r>
          </w:p>
        </w:tc>
        <w:tc>
          <w:tcPr>
            <w:tcW w:type="dxa" w:w="2621"/>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通過條件</w:t>
            </w:r>
          </w:p>
        </w:tc>
        <w:tc>
          <w:tcPr>
            <w:tcW w:type="dxa" w:w="1483"/>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T0 狀態</w:t>
            </w:r>
          </w:p>
        </w:tc>
        <w:tc>
          <w:tcPr>
            <w:tcW w:type="dxa" w:w="1483"/>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T1 狀態</w:t>
            </w:r>
          </w:p>
        </w:tc>
        <w:tc>
          <w:tcPr>
            <w:tcW w:type="dxa" w:w="2621"/>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合成事實定位</w:t>
            </w:r>
          </w:p>
        </w:tc>
      </w:tr>
      <w:tr>
        <w:trPr>
          <w:cantSplit/>
        </w:trPr>
        <w:tc>
          <w:tcPr>
            <w:tcW w:type="dxa" w:w="1658"/>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1 需求對應課程目標</w:t>
            </w:r>
          </w:p>
        </w:tc>
        <w:tc>
          <w:tcPr>
            <w:tcW w:type="dxa" w:w="262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每個目標均連到一項明確需求及其來源鍵</w:t>
            </w:r>
          </w:p>
        </w:tc>
        <w:tc>
          <w:tcPr>
            <w:tcW w:type="dxa" w:w="1483"/>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完成</w:t>
            </w:r>
          </w:p>
        </w:tc>
        <w:tc>
          <w:tcPr>
            <w:tcW w:type="dxa" w:w="1483"/>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完成</w:t>
            </w:r>
          </w:p>
        </w:tc>
        <w:tc>
          <w:tcPr>
            <w:tcW w:type="dxa" w:w="262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定義 F0115；T0 F0125；T1 F0135</w:t>
            </w:r>
          </w:p>
        </w:tc>
      </w:tr>
      <w:tr>
        <w:trPr>
          <w:cantSplit/>
        </w:trPr>
        <w:tc>
          <w:tcPr>
            <w:tcW w:type="dxa" w:w="1658"/>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2 可觀察學習目標</w:t>
            </w:r>
          </w:p>
        </w:tc>
        <w:tc>
          <w:tcPr>
            <w:tcW w:type="dxa" w:w="262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目標含可觀察行為、條件及判定方式</w:t>
            </w:r>
          </w:p>
        </w:tc>
        <w:tc>
          <w:tcPr>
            <w:tcW w:type="dxa" w:w="1483"/>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完成</w:t>
            </w:r>
          </w:p>
        </w:tc>
        <w:tc>
          <w:tcPr>
            <w:tcW w:type="dxa" w:w="1483"/>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完成</w:t>
            </w:r>
          </w:p>
        </w:tc>
        <w:tc>
          <w:tcPr>
            <w:tcW w:type="dxa" w:w="262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定義 F0116；T0 F0126；T1 F0136</w:t>
            </w:r>
          </w:p>
        </w:tc>
      </w:tr>
      <w:tr>
        <w:trPr>
          <w:cantSplit/>
        </w:trPr>
        <w:tc>
          <w:tcPr>
            <w:tcW w:type="dxa" w:w="1658"/>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3 入班條件</w:t>
            </w:r>
          </w:p>
        </w:tc>
        <w:tc>
          <w:tcPr>
            <w:tcW w:type="dxa" w:w="262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對象資格與先備條件已明列且一致</w:t>
            </w:r>
          </w:p>
        </w:tc>
        <w:tc>
          <w:tcPr>
            <w:tcW w:type="dxa" w:w="1483"/>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未完成</w:t>
            </w:r>
          </w:p>
        </w:tc>
        <w:tc>
          <w:tcPr>
            <w:tcW w:type="dxa" w:w="1483"/>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完成</w:t>
            </w:r>
          </w:p>
        </w:tc>
        <w:tc>
          <w:tcPr>
            <w:tcW w:type="dxa" w:w="262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定義 F0117；T0 F0127；T1 F0137</w:t>
            </w:r>
          </w:p>
        </w:tc>
      </w:tr>
      <w:tr>
        <w:trPr>
          <w:cantSplit/>
        </w:trPr>
        <w:tc>
          <w:tcPr>
            <w:tcW w:type="dxa" w:w="1658"/>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4 教學方法連結目標</w:t>
            </w:r>
          </w:p>
        </w:tc>
        <w:tc>
          <w:tcPr>
            <w:tcW w:type="dxa" w:w="262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每項方法／練習能回指至少一項目標</w:t>
            </w:r>
          </w:p>
        </w:tc>
        <w:tc>
          <w:tcPr>
            <w:tcW w:type="dxa" w:w="1483"/>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完成</w:t>
            </w:r>
          </w:p>
        </w:tc>
        <w:tc>
          <w:tcPr>
            <w:tcW w:type="dxa" w:w="1483"/>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完成</w:t>
            </w:r>
          </w:p>
        </w:tc>
        <w:tc>
          <w:tcPr>
            <w:tcW w:type="dxa" w:w="262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定義 F0118；T0 F0128；T1 F0138</w:t>
            </w:r>
          </w:p>
        </w:tc>
      </w:tr>
      <w:tr>
        <w:trPr>
          <w:cantSplit/>
        </w:trPr>
        <w:tc>
          <w:tcPr>
            <w:tcW w:type="dxa" w:w="1658"/>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5 時程與流程</w:t>
            </w:r>
          </w:p>
        </w:tc>
        <w:tc>
          <w:tcPr>
            <w:tcW w:type="dxa" w:w="262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時數、順序及必要節點均已界定</w:t>
            </w:r>
          </w:p>
        </w:tc>
        <w:tc>
          <w:tcPr>
            <w:tcW w:type="dxa" w:w="1483"/>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完成</w:t>
            </w:r>
          </w:p>
        </w:tc>
        <w:tc>
          <w:tcPr>
            <w:tcW w:type="dxa" w:w="1483"/>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完成</w:t>
            </w:r>
          </w:p>
        </w:tc>
        <w:tc>
          <w:tcPr>
            <w:tcW w:type="dxa" w:w="262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定義 F0119；T0 F0129；T1 F0139</w:t>
            </w:r>
          </w:p>
        </w:tc>
      </w:tr>
      <w:tr>
        <w:trPr>
          <w:cantSplit/>
        </w:trPr>
        <w:tc>
          <w:tcPr>
            <w:tcW w:type="dxa" w:w="1658"/>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6 師資資格佐證定位</w:t>
            </w:r>
          </w:p>
        </w:tc>
        <w:tc>
          <w:tcPr>
            <w:tcW w:type="dxa" w:w="262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師資角色、資格判準及待核原件定位均明確；不得以本表宣稱資格已核實</w:t>
            </w:r>
          </w:p>
        </w:tc>
        <w:tc>
          <w:tcPr>
            <w:tcW w:type="dxa" w:w="1483"/>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未完成</w:t>
            </w:r>
          </w:p>
        </w:tc>
        <w:tc>
          <w:tcPr>
            <w:tcW w:type="dxa" w:w="1483"/>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未完成</w:t>
            </w:r>
          </w:p>
        </w:tc>
        <w:tc>
          <w:tcPr>
            <w:tcW w:type="dxa" w:w="262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定義 F0120；T0 F0130；T1 F0140</w:t>
            </w:r>
          </w:p>
        </w:tc>
      </w:tr>
      <w:tr>
        <w:trPr>
          <w:cantSplit/>
        </w:trPr>
        <w:tc>
          <w:tcPr>
            <w:tcW w:type="dxa" w:w="1658"/>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7 教材版本與來源</w:t>
            </w:r>
          </w:p>
        </w:tc>
        <w:tc>
          <w:tcPr>
            <w:tcW w:type="dxa" w:w="262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使用教材具版本標記、來源及課程對應</w:t>
            </w:r>
          </w:p>
        </w:tc>
        <w:tc>
          <w:tcPr>
            <w:tcW w:type="dxa" w:w="1483"/>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完成</w:t>
            </w:r>
          </w:p>
        </w:tc>
        <w:tc>
          <w:tcPr>
            <w:tcW w:type="dxa" w:w="1483"/>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完成</w:t>
            </w:r>
          </w:p>
        </w:tc>
        <w:tc>
          <w:tcPr>
            <w:tcW w:type="dxa" w:w="262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定義 F0121；T0 F0131；T1 F0141</w:t>
            </w:r>
          </w:p>
        </w:tc>
      </w:tr>
      <w:tr>
        <w:trPr>
          <w:cantSplit/>
        </w:trPr>
        <w:tc>
          <w:tcPr>
            <w:tcW w:type="dxa" w:w="1658"/>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8 學習環境條件</w:t>
            </w:r>
          </w:p>
        </w:tc>
        <w:tc>
          <w:tcPr>
            <w:tcW w:type="dxa" w:w="262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空間、設備、可近性及安全條件均有檢核欄位</w:t>
            </w:r>
          </w:p>
        </w:tc>
        <w:tc>
          <w:tcPr>
            <w:tcW w:type="dxa" w:w="1483"/>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未完成</w:t>
            </w:r>
          </w:p>
        </w:tc>
        <w:tc>
          <w:tcPr>
            <w:tcW w:type="dxa" w:w="1483"/>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完成</w:t>
            </w:r>
          </w:p>
        </w:tc>
        <w:tc>
          <w:tcPr>
            <w:tcW w:type="dxa" w:w="262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定義 F0122；T0 F0132；T1 F0142</w:t>
            </w:r>
          </w:p>
        </w:tc>
      </w:tr>
      <w:tr>
        <w:trPr>
          <w:cantSplit/>
        </w:trPr>
        <w:tc>
          <w:tcPr>
            <w:tcW w:type="dxa" w:w="1658"/>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9 評量方法及門檻</w:t>
            </w:r>
          </w:p>
        </w:tc>
        <w:tc>
          <w:tcPr>
            <w:tcW w:type="dxa" w:w="262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評量方式、時點、量尺及合格門檻均已明列</w:t>
            </w:r>
          </w:p>
        </w:tc>
        <w:tc>
          <w:tcPr>
            <w:tcW w:type="dxa" w:w="1483"/>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完成</w:t>
            </w:r>
          </w:p>
        </w:tc>
        <w:tc>
          <w:tcPr>
            <w:tcW w:type="dxa" w:w="1483"/>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完成</w:t>
            </w:r>
          </w:p>
        </w:tc>
        <w:tc>
          <w:tcPr>
            <w:tcW w:type="dxa" w:w="262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定義 F0123；T0 F0133；T1 F0143</w:t>
            </w:r>
          </w:p>
        </w:tc>
      </w:tr>
      <w:tr>
        <w:trPr>
          <w:cantSplit/>
        </w:trPr>
        <w:tc>
          <w:tcPr>
            <w:tcW w:type="dxa" w:w="1658"/>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10 後續追蹤安排</w:t>
            </w:r>
          </w:p>
        </w:tc>
        <w:tc>
          <w:tcPr>
            <w:tcW w:type="dxa" w:w="262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追蹤時點、責任角色及預定觀察指標均已界定</w:t>
            </w:r>
          </w:p>
        </w:tc>
        <w:tc>
          <w:tcPr>
            <w:tcW w:type="dxa" w:w="1483"/>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未完成</w:t>
            </w:r>
          </w:p>
        </w:tc>
        <w:tc>
          <w:tcPr>
            <w:tcW w:type="dxa" w:w="1483"/>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未完成</w:t>
            </w:r>
          </w:p>
        </w:tc>
        <w:tc>
          <w:tcPr>
            <w:tcW w:type="dxa" w:w="2621"/>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定義 F0124；T0 F0134；T1 F0144</w:t>
            </w:r>
          </w:p>
        </w:tc>
      </w:tr>
      <w:tr>
        <w:trPr>
          <w:cantSplit/>
        </w:trPr>
        <w:tc>
          <w:tcPr>
            <w:tcW w:type="dxa" w:w="1658"/>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合計</w:t>
            </w:r>
          </w:p>
        </w:tc>
        <w:tc>
          <w:tcPr>
            <w:tcW w:type="dxa" w:w="262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固定十項、同一判準</w:t>
            </w:r>
          </w:p>
        </w:tc>
        <w:tc>
          <w:tcPr>
            <w:tcW w:type="dxa" w:w="1483"/>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6／10＝60%</w:t>
            </w:r>
          </w:p>
        </w:tc>
        <w:tc>
          <w:tcPr>
            <w:tcW w:type="dxa" w:w="1483"/>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8／10＝80%</w:t>
            </w:r>
          </w:p>
        </w:tc>
        <w:tc>
          <w:tcPr>
            <w:tcW w:type="dxa" w:w="2621"/>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T0 四項未完成；T1 僅第6及第10項未完成</w:t>
            </w:r>
          </w:p>
        </w:tc>
      </w:tr>
    </w:tbl>
    <w:p>
      <w:pPr>
        <w:spacing w:after="20"/>
      </w:pPr>
    </w:p>
    <w:p>
      <w:r>
        <w:rPr>
          <w:rFonts w:ascii="Microsoft JhengHei" w:hAnsi="Microsoft JhengHei" w:eastAsia="Microsoft JhengHei"/>
          <w:color w:val="202938"/>
          <w:sz w:val="21"/>
        </w:rPr>
        <w:t>本例目標值為 90%（F0103）。依「差距＝實績－目標」：T0 為 60%－90%＝−30.00 個百分點；T1 為 80%－90%＝−10.00 個百分點。T0/T1 僅第3與第8項由未完成轉為完成，故完整數由 6 增至 8；第6、第10項仍未完成，與 §5 差距排序完全一致。</w:t>
      </w:r>
    </w:p>
    <w:p>
      <w:r>
        <w:rPr>
          <w:rFonts w:ascii="Microsoft JhengHei" w:hAnsi="Microsoft JhengHei" w:eastAsia="Microsoft JhengHei"/>
          <w:color w:val="202938"/>
          <w:sz w:val="21"/>
        </w:rPr>
        <w:t>相對改善率＝（改善後－改善前）÷改善前＝（80%－60%）÷60%＝33.333…%＝33.33%；絕對變化＝80%－60%＝+20.00 個百分點。計算時保留原始分子、分母及未四捨五入比率；不以已四捨五入的中間值再計算。最後呈現的比率與百分點差距均四捨五入至小數第二位，採一般四捨五入（第三位小於5捨去，5以上進位）。這個規則只控制呈現精度，不改變判定。</w:t>
      </w:r>
    </w:p>
    <w:p>
      <w:r>
        <w:rPr>
          <w:rFonts w:ascii="Microsoft JhengHei" w:hAnsi="Microsoft JhengHei" w:eastAsia="Microsoft JhengHei"/>
          <w:color w:val="202938"/>
          <w:sz w:val="21"/>
        </w:rPr>
        <w:t>T1 80% 仍低於 90% SAMPLE 目標，結論維持 SAMPLE／HOLD，不得寫成達標、改善已獲核准或協會實績。改善前為零時相對改善率標 N/A，只列原始計數與絕對變化；T0/T1 的清單、條件、母數或單位不同時先 HOLD、重新建立可比基準；任何真實來源未提供時維持 SAMPLE／UNKNOWN。全部十項定義、各期狀態與限制均在替換清冊 F0115–F0144 登錄。</w:t>
      </w:r>
    </w:p>
    <w:p>
      <w:pPr>
        <w:sectPr>
          <w:headerReference w:type="default" r:id="rId9"/>
          <w:footerReference w:type="default" r:id="rId10"/>
          <w:pgSz w:w="11906" w:h="16838"/>
          <w:pgMar w:top="1020" w:right="1020" w:bottom="964" w:left="1020" w:header="454" w:footer="454" w:gutter="0"/>
          <w:cols w:space="720"/>
          <w:docGrid w:linePitch="360"/>
        </w:sectPr>
      </w:pPr>
    </w:p>
    <w:p>
      <w:pPr>
        <w:pStyle w:val="Heading2"/>
      </w:pPr>
      <w:r>
        <w:rPr>
          <w:rFonts w:ascii="Microsoft JhengHei" w:hAnsi="Microsoft JhengHei" w:eastAsia="Microsoft JhengHei"/>
          <w:color w:val="202938"/>
          <w:sz w:val="24"/>
        </w:rPr>
        <w:t>5. 發現及證據強度</w:t>
      </w:r>
    </w:p>
    <w:p>
      <w:pPr>
        <w:pStyle w:val="Heading3"/>
      </w:pPr>
      <w:r>
        <w:rPr>
          <w:rFonts w:ascii="Microsoft JhengHei" w:hAnsi="Microsoft JhengHei" w:eastAsia="Microsoft JhengHei"/>
          <w:color w:val="202938"/>
          <w:sz w:val="28"/>
        </w:rPr>
        <w:t>5.1 合成算例的差距優先矩陣</w:t>
      </w:r>
    </w:p>
    <w:p>
      <w:r>
        <w:rPr>
          <w:rFonts w:ascii="Microsoft JhengHei" w:hAnsi="Microsoft JhengHei" w:eastAsia="Microsoft JhengHei"/>
          <w:color w:val="202938"/>
          <w:sz w:val="21"/>
        </w:rPr>
        <w:t>排序原則先處理課程發布前的師資資格佐證與適任性可追溯問題，再處理課後追蹤的責任與時點；本排序是本例的 SAMPLE 風險判斷，不是協會正式決議或核准，排序方法與限制登錄於 F0147。兩項均為 T1 未完成，整體結論仍 HOLD。</w:t>
      </w:r>
    </w:p>
    <w:tbl>
      <w:tblPr>
        <w:tblStyle w:val="TableGrid"/>
        <w:tblW w:type="auto" w:w="0"/>
        <w:jc w:val="center"/>
        <w:tblLayout w:type="fixed"/>
        <w:tblLook w:firstColumn="1" w:firstRow="1" w:lastColumn="0" w:lastRow="0" w:noHBand="0" w:noVBand="1" w:val="04A0"/>
      </w:tblPr>
      <w:tblGrid>
        <w:gridCol w:w="2338"/>
        <w:gridCol w:w="2492"/>
        <w:gridCol w:w="2492"/>
        <w:gridCol w:w="2492"/>
        <w:gridCol w:w="2492"/>
        <w:gridCol w:w="2492"/>
      </w:tblGrid>
      <w:tr>
        <w:trPr>
          <w:cantSplit/>
          <w:tblHeader w:val="true"/>
        </w:trPr>
        <w:tc>
          <w:tcPr>
            <w:tcW w:type="dxa" w:w="2338"/>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排序／差距</w:t>
            </w:r>
          </w:p>
        </w:tc>
        <w:tc>
          <w:tcPr>
            <w:tcW w:type="dxa" w:w="2492"/>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證據及目前狀態</w:t>
            </w:r>
          </w:p>
        </w:tc>
        <w:tc>
          <w:tcPr>
            <w:tcW w:type="dxa" w:w="2492"/>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風險與排序理由</w:t>
            </w:r>
          </w:p>
        </w:tc>
        <w:tc>
          <w:tcPr>
            <w:tcW w:type="dxa" w:w="2492"/>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SAMPLE 建議行動／責任角色</w:t>
            </w:r>
          </w:p>
        </w:tc>
        <w:tc>
          <w:tcPr>
            <w:tcW w:type="dxa" w:w="2492"/>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觸發時點及追蹤指標</w:t>
            </w:r>
          </w:p>
        </w:tc>
        <w:tc>
          <w:tcPr>
            <w:tcW w:type="dxa" w:w="2492"/>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關閉條件／維持 HOLD 條件</w:t>
            </w:r>
          </w:p>
        </w:tc>
      </w:tr>
      <w:tr>
        <w:trPr>
          <w:cantSplit/>
        </w:trPr>
        <w:tc>
          <w:tcPr>
            <w:tcW w:type="dxa" w:w="2338"/>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P1／第6項：師資資格佐證定位未完成</w:t>
            </w:r>
          </w:p>
        </w:tc>
        <w:tc>
          <w:tcPr>
            <w:tcW w:type="dxa" w:w="2492"/>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十項檢核第6項 T0、T1 均未完成（F0120、F0130、F0140）；沒有可核實的資格原件；本差距定位與處理建議登錄於 F0145</w:t>
            </w:r>
          </w:p>
        </w:tc>
        <w:tc>
          <w:tcPr>
            <w:tcW w:type="dxa" w:w="2492"/>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課程發布前無法確認資格判準與文件位置，可能影響授課適任性；因此先於課後追蹤缺口處理</w:t>
            </w:r>
          </w:p>
        </w:tc>
        <w:tc>
          <w:tcPr>
            <w:tcW w:type="dxa" w:w="2492"/>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取得並核對適用資格文件、判準及來源位置；責任角色為 SAMPLE_ROLE_TRAINING_COORDINATOR，僅為角色代碼，不指涉真人或既有職務</w:t>
            </w:r>
          </w:p>
        </w:tc>
        <w:tc>
          <w:tcPr>
            <w:tcW w:type="dxa" w:w="2492"/>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課程計畫發布或師資安排前；追蹤「發布前資格佐證欄位完整率」的分子、分母與來源</w:t>
            </w:r>
          </w:p>
        </w:tc>
        <w:tc>
          <w:tcPr>
            <w:tcW w:type="dxa" w:w="2492"/>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原件、判準、核對結果及定位均可追溯後才可解除本項 HOLD；未取得原件、授權或核對記錄則維持 HOLD，不得宣稱資格已核實</w:t>
            </w:r>
          </w:p>
        </w:tc>
      </w:tr>
      <w:tr>
        <w:trPr>
          <w:cantSplit/>
        </w:trPr>
        <w:tc>
          <w:tcPr>
            <w:tcW w:type="dxa" w:w="2338"/>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P2／第10項：後續追蹤時點與責任角色未完成</w:t>
            </w:r>
          </w:p>
        </w:tc>
        <w:tc>
          <w:tcPr>
            <w:tcW w:type="dxa" w:w="2492"/>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十項檢核第10項 T0、T1 均未完成（F0124、F0134、F0144）；未界定追蹤時點、責任角色及觀察指標；本差距定位與處理建議登錄於 F0146</w:t>
            </w:r>
          </w:p>
        </w:tc>
        <w:tc>
          <w:tcPr>
            <w:tcW w:type="dxa" w:w="2492"/>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若沒有追蹤安排，無法在課後取得一致的改善或回饋證據；排在發布前師資佐證之後</w:t>
            </w:r>
          </w:p>
        </w:tc>
        <w:tc>
          <w:tcPr>
            <w:tcW w:type="dxa" w:w="2492"/>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在課程計畫中界定追蹤時點、責任角色及觀察指標；責任角色為 SAMPLE_ROLE_PROGRAM_OWNER，僅為合成角色代碼</w:t>
            </w:r>
          </w:p>
        </w:tc>
        <w:tc>
          <w:tcPr>
            <w:tcW w:type="dxa" w:w="2492"/>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課程計畫定稿及課後追蹤啟動前；追蹤「預定追蹤項目中具有時點、責任角色及指標的比例」</w:t>
            </w:r>
          </w:p>
        </w:tc>
        <w:tc>
          <w:tcPr>
            <w:tcW w:type="dxa" w:w="2492"/>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三欄均完整且有後續紀錄定位才可關閉；未定義時間或責任角色時維持 HOLD，不得推論訓練成效</w:t>
            </w:r>
          </w:p>
        </w:tc>
      </w:tr>
    </w:tbl>
    <w:p>
      <w:pPr>
        <w:spacing w:after="20"/>
      </w:pPr>
    </w:p>
    <w:p>
      <w:pPr>
        <w:sectPr>
          <w:pgSz w:w="16838" w:h="11906" w:orient="landscape"/>
          <w:pgMar w:top="1020" w:right="1020" w:bottom="964" w:left="1020" w:header="454" w:footer="454" w:gutter="0"/>
          <w:cols w:space="720"/>
          <w:docGrid w:linePitch="360"/>
        </w:sectPr>
      </w:pPr>
    </w:p>
    <w:p>
      <w:r>
        <w:rPr>
          <w:rFonts w:ascii="Microsoft JhengHei" w:hAnsi="Microsoft JhengHei" w:eastAsia="Microsoft JhengHei"/>
          <w:color w:val="202938"/>
          <w:sz w:val="21"/>
        </w:rPr>
        <w:t>上述角色、風險及建議均屬合成工作範例；不代表協會已指派人員、核准師資、執行課程或形成決議。優先次序可在取得真實來源後依據風險與法定／契約條件重評，變更須保留理由與來源。</w:t>
      </w:r>
    </w:p>
    <w:p>
      <w:r>
        <w:rPr>
          <w:rFonts w:ascii="Microsoft JhengHei" w:hAnsi="Microsoft JhengHei" w:eastAsia="Microsoft JhengHei"/>
          <w:color w:val="202938"/>
          <w:sz w:val="21"/>
        </w:rPr>
        <w:t>在這組假設評分下，A 最高，因同時納入流程／紀錄練習及交接界線；B、C 分別聚焦溝通／轉介及志工合作／安全。排序差距是評分算術，不是需求比例或效益差異。</w:t>
      </w:r>
    </w:p>
    <w:p>
      <w:r>
        <w:rPr>
          <w:rFonts w:ascii="Microsoft JhengHei" w:hAnsi="Microsoft JhengHei" w:eastAsia="Microsoft JhengHei"/>
          <w:color w:val="202938"/>
          <w:sz w:val="21"/>
        </w:rPr>
        <w:t>官方要求及 Blueprint 支持來源身分；0003／0004 只是候選材料中的 SAMPLE/SYNTHETIC；選項、評分與檢核是本稿合成分析。沒有真實課綱、教材、授課、出席、練習、回饋、事件或修訂紀錄，不能判定既有課程品質或成效，也不能說協會已完成檢討。</w:t>
      </w:r>
    </w:p>
    <w:p>
      <w:pPr>
        <w:pStyle w:val="Heading2"/>
      </w:pPr>
      <w:r>
        <w:rPr>
          <w:rFonts w:ascii="Microsoft JhengHei" w:hAnsi="Microsoft JhengHei" w:eastAsia="Microsoft JhengHei"/>
          <w:color w:val="202938"/>
          <w:sz w:val="24"/>
        </w:rPr>
        <w:t>6. 課程生命週期：已填 SAMPLE 檢核表</w:t>
      </w:r>
    </w:p>
    <w:p>
      <w:r>
        <w:rPr>
          <w:rFonts w:ascii="Microsoft JhengHei" w:hAnsi="Microsoft JhengHei" w:eastAsia="Microsoft JhengHei"/>
          <w:color w:val="202938"/>
          <w:sz w:val="21"/>
        </w:rPr>
        <w:t>本報告差距與改善率公式及完整演算見 §4.4；下表的五項設計完整度另以 4／5 計算，兩者是不同指標，不可合併分母。無實際開課、授課、回饋或修訂原件時，相關執行結果維持 N/A／UNKNOWN。</w:t>
      </w:r>
    </w:p>
    <w:p>
      <w:r>
        <w:rPr>
          <w:rFonts w:ascii="Microsoft JhengHei" w:hAnsi="Microsoft JhengHei" w:eastAsia="Microsoft JhengHei"/>
          <w:color w:val="202938"/>
          <w:sz w:val="21"/>
        </w:rPr>
        <w:t>以下是方案 A 的合成桌面檢核，不是機構正式表單、實際課程檔案或已完成活動紀錄。每列均有結果或具理由的 N/A。</w:t>
      </w:r>
    </w:p>
    <w:tbl>
      <w:tblPr>
        <w:tblStyle w:val="TableGrid"/>
        <w:tblW w:type="auto" w:w="0"/>
        <w:jc w:val="center"/>
        <w:tblLayout w:type="fixed"/>
        <w:tblLook w:firstColumn="1" w:firstRow="1" w:lastColumn="0" w:lastRow="0" w:noHBand="0" w:noVBand="1" w:val="04A0"/>
      </w:tblPr>
      <w:tblGrid>
        <w:gridCol w:w="1314"/>
        <w:gridCol w:w="2324"/>
        <w:gridCol w:w="2324"/>
        <w:gridCol w:w="1676"/>
        <w:gridCol w:w="2229"/>
      </w:tblGrid>
      <w:tr>
        <w:trPr>
          <w:cantSplit/>
          <w:tblHeader w:val="true"/>
        </w:trPr>
        <w:tc>
          <w:tcPr>
            <w:tcW w:type="dxa" w:w="1314"/>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階段</w:t>
            </w:r>
          </w:p>
        </w:tc>
        <w:tc>
          <w:tcPr>
            <w:tcW w:type="dxa" w:w="2324"/>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SAMPLE 輸入及計算</w:t>
            </w:r>
          </w:p>
        </w:tc>
        <w:tc>
          <w:tcPr>
            <w:tcW w:type="dxa" w:w="2324"/>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門檻</w:t>
            </w:r>
          </w:p>
        </w:tc>
        <w:tc>
          <w:tcPr>
            <w:tcW w:type="dxa" w:w="1676"/>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判定</w:t>
            </w:r>
          </w:p>
        </w:tc>
        <w:tc>
          <w:tcPr>
            <w:tcW w:type="dxa" w:w="2229"/>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已填修正／追蹤</w:t>
            </w:r>
          </w:p>
        </w:tc>
      </w:tr>
      <w:tr>
        <w:trPr>
          <w:cantSplit/>
        </w:trPr>
        <w:tc>
          <w:tcPr>
            <w:tcW w:type="dxa" w:w="1314"/>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需求—目的追溯</w:t>
            </w:r>
          </w:p>
        </w:tc>
        <w:tc>
          <w:tcPr>
            <w:tcW w:type="dxa" w:w="2324"/>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三項示例訊號均映射；3/3=100%（F0047）</w:t>
            </w:r>
          </w:p>
        </w:tc>
        <w:tc>
          <w:tcPr>
            <w:tcW w:type="dxa" w:w="2324"/>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3/3 可追溯；不得外推（F0048）</w:t>
            </w:r>
          </w:p>
        </w:tc>
        <w:tc>
          <w:tcPr>
            <w:tcW w:type="dxa" w:w="1676"/>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PASS（僅限映射）</w:t>
            </w:r>
          </w:p>
        </w:tc>
        <w:tc>
          <w:tcPr>
            <w:tcW w:type="dxa" w:w="2229"/>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PC 仍須用真實需求資料重新確認</w:t>
            </w:r>
          </w:p>
        </w:tc>
      </w:tr>
      <w:tr>
        <w:trPr>
          <w:cantSplit/>
        </w:trPr>
        <w:tc>
          <w:tcPr>
            <w:tcW w:type="dxa" w:w="1314"/>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設計完整度</w:t>
            </w:r>
          </w:p>
        </w:tc>
        <w:tc>
          <w:tcPr>
            <w:tcW w:type="dxa" w:w="2324"/>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目的、可觀察目標、練習、界線、紀錄／回饋責任五項；前四項有內容（F0039–F0043）；4/5=80%（F0044）</w:t>
            </w:r>
          </w:p>
        </w:tc>
        <w:tc>
          <w:tcPr>
            <w:tcW w:type="dxa" w:w="2324"/>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5/5 完成才可送審議（F0045）</w:t>
            </w:r>
          </w:p>
        </w:tc>
        <w:tc>
          <w:tcPr>
            <w:tcW w:type="dxa" w:w="1676"/>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HOLD（F0046）</w:t>
            </w:r>
          </w:p>
        </w:tc>
        <w:tc>
          <w:tcPr>
            <w:tcW w:type="dxa" w:w="2229"/>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IN 補紀錄及回饋欄；ER 查定位；PC 重算</w:t>
            </w:r>
          </w:p>
        </w:tc>
      </w:tr>
      <w:tr>
        <w:trPr>
          <w:cantSplit/>
        </w:trPr>
        <w:tc>
          <w:tcPr>
            <w:tcW w:type="dxa" w:w="1314"/>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課前就緒</w:t>
            </w:r>
          </w:p>
        </w:tc>
        <w:tc>
          <w:tcPr>
            <w:tcW w:type="dxa" w:w="2324"/>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無真實場地、帶領者、時段或可及性來源（F0049）</w:t>
            </w:r>
          </w:p>
        </w:tc>
        <w:tc>
          <w:tcPr>
            <w:tcW w:type="dxa" w:w="2324"/>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實際排課前逐項核實；關鍵項缺一即 HOLD（F0058）</w:t>
            </w:r>
          </w:p>
        </w:tc>
        <w:tc>
          <w:tcPr>
            <w:tcW w:type="dxa" w:w="1676"/>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N/A（無真實輸入）</w:t>
            </w:r>
          </w:p>
        </w:tc>
        <w:tc>
          <w:tcPr>
            <w:tcW w:type="dxa" w:w="2229"/>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不把合成假設當人力／場地確認</w:t>
            </w:r>
          </w:p>
        </w:tc>
      </w:tr>
      <w:tr>
        <w:trPr>
          <w:cantSplit/>
        </w:trPr>
        <w:tc>
          <w:tcPr>
            <w:tcW w:type="dxa" w:w="1314"/>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授課與觀察</w:t>
            </w:r>
          </w:p>
        </w:tc>
        <w:tc>
          <w:tcPr>
            <w:tcW w:type="dxa" w:w="2324"/>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無實際授課或觀察資料（F0050）；無可計算分子／分母</w:t>
            </w:r>
          </w:p>
        </w:tc>
        <w:tc>
          <w:tcPr>
            <w:tcW w:type="dxa" w:w="2324"/>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授課後依核定觀察表記錄</w:t>
            </w:r>
          </w:p>
        </w:tc>
        <w:tc>
          <w:tcPr>
            <w:tcW w:type="dxa" w:w="1676"/>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N/A（未提供課程）</w:t>
            </w:r>
          </w:p>
        </w:tc>
        <w:tc>
          <w:tcPr>
            <w:tcW w:type="dxa" w:w="2229"/>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不填 0% 或推定通過；有原件再分析</w:t>
            </w:r>
          </w:p>
        </w:tc>
      </w:tr>
      <w:tr>
        <w:trPr>
          <w:cantSplit/>
        </w:trPr>
        <w:tc>
          <w:tcPr>
            <w:tcW w:type="dxa" w:w="1314"/>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回饋、紀錄、修訂</w:t>
            </w:r>
          </w:p>
        </w:tc>
        <w:tc>
          <w:tcPr>
            <w:tcW w:type="dxa" w:w="2324"/>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無真實回饋、出席、作品、修訂或結案紀錄（F0051）</w:t>
            </w:r>
          </w:p>
        </w:tc>
        <w:tc>
          <w:tcPr>
            <w:tcW w:type="dxa" w:w="2324"/>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實際結課必要紀錄完整率 100%（F0052）；回饋率低於 80% 限縮解讀（F0053）</w:t>
            </w:r>
          </w:p>
        </w:tc>
        <w:tc>
          <w:tcPr>
            <w:tcW w:type="dxa" w:w="1676"/>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N/A（無實際開課／回饋）</w:t>
            </w:r>
          </w:p>
        </w:tc>
        <w:tc>
          <w:tcPr>
            <w:tcW w:type="dxa" w:w="2229"/>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ER 核對原件索引；缺件標示；有修訂才比版本</w:t>
            </w:r>
          </w:p>
        </w:tc>
      </w:tr>
    </w:tbl>
    <w:p>
      <w:pPr>
        <w:spacing w:after="20"/>
      </w:pPr>
    </w:p>
    <w:p>
      <w:r>
        <w:rPr>
          <w:rFonts w:ascii="Microsoft JhengHei" w:hAnsi="Microsoft JhengHei" w:eastAsia="Microsoft JhengHei"/>
          <w:color w:val="202938"/>
          <w:sz w:val="21"/>
        </w:rPr>
        <w:t>N/A 表示沒有可觀測證據，不是零分或沒有問題；未觀測階段不計入完成課程或成效。</w:t>
      </w:r>
    </w:p>
    <w:p>
      <w:pPr>
        <w:pStyle w:val="Heading2"/>
      </w:pPr>
      <w:r>
        <w:rPr>
          <w:rFonts w:ascii="Microsoft JhengHei" w:hAnsi="Microsoft JhengHei" w:eastAsia="Microsoft JhengHei"/>
          <w:color w:val="202938"/>
          <w:sz w:val="24"/>
        </w:rPr>
        <w:t>7. 結論、HOLD／REJECT 及修正責任</w:t>
      </w:r>
    </w:p>
    <w:p>
      <w:pPr>
        <w:pStyle w:val="Heading3"/>
      </w:pPr>
      <w:r>
        <w:rPr>
          <w:rFonts w:ascii="Microsoft JhengHei" w:hAnsi="Microsoft JhengHei" w:eastAsia="Microsoft JhengHei"/>
          <w:color w:val="202938"/>
          <w:sz w:val="28"/>
        </w:rPr>
        <w:t>7.1 僅供審議的 SAMPLE 建議</w:t>
      </w:r>
    </w:p>
    <w:p>
      <w:r>
        <w:rPr>
          <w:rFonts w:ascii="Microsoft JhengHei" w:hAnsi="Microsoft JhengHei" w:eastAsia="Microsoft JhengHei"/>
          <w:color w:val="202938"/>
          <w:sz w:val="21"/>
        </w:rPr>
        <w:t xml:space="preserve">A 是本組合成評分中的最高分，只可作「補齊設計後供有權者評估是否試行」的樣例建議（F0081）。設計完整度 4/5，未達 5/5，故維持 </w:t>
      </w:r>
      <w:r>
        <w:rPr>
          <w:rFonts w:ascii="Microsoft JhengHei" w:hAnsi="Microsoft JhengHei" w:eastAsia="Microsoft JhengHei"/>
          <w:b/>
          <w:color w:val="202938"/>
          <w:sz w:val="21"/>
        </w:rPr>
        <w:t>HOLD（F0046）</w:t>
      </w:r>
      <w:r>
        <w:rPr>
          <w:rFonts w:ascii="Microsoft JhengHei" w:hAnsi="Microsoft JhengHei" w:eastAsia="Microsoft JhengHei"/>
          <w:color w:val="202938"/>
          <w:sz w:val="21"/>
        </w:rPr>
        <w:t>。高分不等於選定、核准、排課或實施；本文沒有決議、真人姓名、簽章或授權紀錄。</w:t>
      </w:r>
    </w:p>
    <w:p>
      <w:pPr>
        <w:pStyle w:val="Heading3"/>
      </w:pPr>
      <w:r>
        <w:rPr>
          <w:rFonts w:ascii="Microsoft JhengHei" w:hAnsi="Microsoft JhengHei" w:eastAsia="Microsoft JhengHei"/>
          <w:color w:val="202938"/>
          <w:sz w:val="28"/>
        </w:rPr>
        <w:t>7.2 樣例控制行動表</w:t>
      </w:r>
    </w:p>
    <w:p>
      <w:r>
        <w:rPr>
          <w:rFonts w:ascii="Microsoft JhengHei" w:hAnsi="Microsoft JhengHei" w:eastAsia="Microsoft JhengHei"/>
          <w:color w:val="202938"/>
          <w:sz w:val="21"/>
        </w:rPr>
        <w:t>本表的師資資格與課後追蹤優先次序，須與 §5.1 的 P1／P2 差距矩陣一致；只在合成情境下示範，不構成正式分派或核准。</w:t>
      </w:r>
    </w:p>
    <w:tbl>
      <w:tblPr>
        <w:tblStyle w:val="TableGrid"/>
        <w:tblW w:type="auto" w:w="0"/>
        <w:jc w:val="center"/>
        <w:tblLayout w:type="fixed"/>
        <w:tblLook w:firstColumn="1" w:firstRow="1" w:lastColumn="0" w:lastRow="0" w:noHBand="0" w:noVBand="1" w:val="04A0"/>
      </w:tblPr>
      <w:tblGrid>
        <w:gridCol w:w="2054"/>
        <w:gridCol w:w="2054"/>
        <w:gridCol w:w="2054"/>
        <w:gridCol w:w="1693"/>
        <w:gridCol w:w="2012"/>
      </w:tblGrid>
      <w:tr>
        <w:trPr>
          <w:cantSplit/>
          <w:tblHeader w:val="true"/>
        </w:trPr>
        <w:tc>
          <w:tcPr>
            <w:tcW w:type="dxa" w:w="2054"/>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觸發</w:t>
            </w:r>
          </w:p>
        </w:tc>
        <w:tc>
          <w:tcPr>
            <w:tcW w:type="dxa" w:w="2054"/>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動作</w:t>
            </w:r>
          </w:p>
        </w:tc>
        <w:tc>
          <w:tcPr>
            <w:tcW w:type="dxa" w:w="2054"/>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SAMPLE 角色</w:t>
            </w:r>
          </w:p>
        </w:tc>
        <w:tc>
          <w:tcPr>
            <w:tcW w:type="dxa" w:w="1693"/>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時點</w:t>
            </w:r>
          </w:p>
        </w:tc>
        <w:tc>
          <w:tcPr>
            <w:tcW w:type="dxa" w:w="2012"/>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關閉條件</w:t>
            </w:r>
          </w:p>
        </w:tc>
      </w:tr>
      <w:tr>
        <w:trPr>
          <w:cantSplit/>
        </w:trPr>
        <w:tc>
          <w:tcPr>
            <w:tcW w:type="dxa" w:w="2054"/>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必填設計項未完成（本例 4/5）</w:t>
            </w:r>
          </w:p>
        </w:tc>
        <w:tc>
          <w:tcPr>
            <w:tcW w:type="dxa" w:w="2054"/>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HOLD；補齊後按原表重算（F0058）</w:t>
            </w:r>
          </w:p>
        </w:tc>
        <w:tc>
          <w:tcPr>
            <w:tcW w:type="dxa" w:w="2054"/>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IN 填補缺欄（F0061）；ER 覆核（F0082）；PC 重算（F0083）</w:t>
            </w:r>
          </w:p>
        </w:tc>
        <w:tc>
          <w:tcPr>
            <w:tcW w:type="dxa" w:w="1693"/>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公開邀請或排課提案前（F0084）</w:t>
            </w:r>
          </w:p>
        </w:tc>
        <w:tc>
          <w:tcPr>
            <w:tcW w:type="dxa" w:w="2012"/>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新版本逐欄可定位且覆核（F0068）</w:t>
            </w:r>
          </w:p>
        </w:tc>
      </w:tr>
      <w:tr>
        <w:trPr>
          <w:cantSplit/>
        </w:trPr>
        <w:tc>
          <w:tcPr>
            <w:tcW w:type="dxa" w:w="2054"/>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無可核實需求來源，或將單筆答案寫成群體需求</w:t>
            </w:r>
          </w:p>
        </w:tc>
        <w:tc>
          <w:tcPr>
            <w:tcW w:type="dxa" w:w="2054"/>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HOLD；撤回外推、取得合法來源或限縮為示例（F0059）</w:t>
            </w:r>
          </w:p>
        </w:tc>
        <w:tc>
          <w:tcPr>
            <w:tcW w:type="dxa" w:w="2054"/>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PC 負責來源追溯（F0065）；核對來源與限制（F0085）</w:t>
            </w:r>
          </w:p>
        </w:tc>
        <w:tc>
          <w:tcPr>
            <w:tcW w:type="dxa" w:w="1693"/>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送審議前（F0086）</w:t>
            </w:r>
          </w:p>
        </w:tc>
        <w:tc>
          <w:tcPr>
            <w:tcW w:type="dxa" w:w="2012"/>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來源、分母、納入排除及限制一致（F0069）</w:t>
            </w:r>
          </w:p>
        </w:tc>
      </w:tr>
      <w:tr>
        <w:trPr>
          <w:cantSplit/>
        </w:trPr>
        <w:tc>
          <w:tcPr>
            <w:tcW w:type="dxa" w:w="2054"/>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內容要求志工診斷／治療、保證效果或越過實際授權界線</w:t>
            </w:r>
          </w:p>
        </w:tc>
        <w:tc>
          <w:tcPr>
            <w:tcW w:type="dxa" w:w="2054"/>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REJECT 越界內容；修正後重審；界線不清則 HOLD（F0060）</w:t>
            </w:r>
          </w:p>
        </w:tc>
        <w:tc>
          <w:tcPr>
            <w:tcW w:type="dxa" w:w="2054"/>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IN 提案（F0066）；ER 檢查（F0087）；AUTH 僅在實際授權成立時決策（F0088）</w:t>
            </w:r>
          </w:p>
        </w:tc>
        <w:tc>
          <w:tcPr>
            <w:tcW w:type="dxa" w:w="1693"/>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設計審查及材料發布前（F0089）</w:t>
            </w:r>
          </w:p>
        </w:tc>
        <w:tc>
          <w:tcPr>
            <w:tcW w:type="dxa" w:w="2012"/>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內容有可核對界線來源、無未解項（F0070）</w:t>
            </w:r>
          </w:p>
        </w:tc>
      </w:tr>
      <w:tr>
        <w:trPr>
          <w:cantSplit/>
        </w:trPr>
        <w:tc>
          <w:tcPr>
            <w:tcW w:type="dxa" w:w="2054"/>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真實結課紀錄缺漏</w:t>
            </w:r>
          </w:p>
        </w:tc>
        <w:tc>
          <w:tcPr>
            <w:tcW w:type="dxa" w:w="2054"/>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暫停宣稱完成／成效；依原件更正並留軌跡（F0062）</w:t>
            </w:r>
          </w:p>
        </w:tc>
        <w:tc>
          <w:tcPr>
            <w:tcW w:type="dxa" w:w="2054"/>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ER 核對；PC 追蹤（F0056）</w:t>
            </w:r>
          </w:p>
        </w:tc>
        <w:tc>
          <w:tcPr>
            <w:tcW w:type="dxa" w:w="1693"/>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結課彙整時</w:t>
            </w:r>
          </w:p>
        </w:tc>
        <w:tc>
          <w:tcPr>
            <w:tcW w:type="dxa" w:w="2012"/>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必要原件及索引完整；未取得者標缺件（F0071）</w:t>
            </w:r>
          </w:p>
        </w:tc>
      </w:tr>
      <w:tr>
        <w:trPr>
          <w:cantSplit/>
        </w:trPr>
        <w:tc>
          <w:tcPr>
            <w:tcW w:type="dxa" w:w="2054"/>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回饋率低於本例 80%</w:t>
            </w:r>
          </w:p>
        </w:tc>
        <w:tc>
          <w:tcPr>
            <w:tcW w:type="dxa" w:w="2054"/>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限縮滿意度結論，不推論整體（F0053）</w:t>
            </w:r>
          </w:p>
        </w:tc>
        <w:tc>
          <w:tcPr>
            <w:tcW w:type="dxa" w:w="2054"/>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ER 計算回收率（F0067）；PC 限縮解讀（F0090）</w:t>
            </w:r>
          </w:p>
        </w:tc>
        <w:tc>
          <w:tcPr>
            <w:tcW w:type="dxa" w:w="1693"/>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分析回饋前（F0091）</w:t>
            </w:r>
          </w:p>
        </w:tc>
        <w:tc>
          <w:tcPr>
            <w:tcW w:type="dxa" w:w="2012"/>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列明回收數、邀請分母及無效處理（F0072）</w:t>
            </w:r>
          </w:p>
        </w:tc>
      </w:tr>
    </w:tbl>
    <w:p>
      <w:pPr>
        <w:spacing w:after="20"/>
      </w:pPr>
    </w:p>
    <w:p>
      <w:r>
        <w:rPr>
          <w:rFonts w:ascii="Microsoft JhengHei" w:hAnsi="Microsoft JhengHei" w:eastAsia="Microsoft JhengHei"/>
          <w:color w:val="202938"/>
          <w:sz w:val="21"/>
        </w:rPr>
        <w:t>PC＝規劃協調；IN＝課程設計／帶領；ER＝紀錄／品質覆核；AUTH＝有權決策角色（F0054–F0057）。這些代碼不代表已任命真人或授權；本報告不替任何人核准。</w:t>
      </w:r>
    </w:p>
    <w:p>
      <w:r>
        <w:br w:type="page"/>
      </w:r>
    </w:p>
    <w:p>
      <w:pPr>
        <w:pStyle w:val="Heading2"/>
      </w:pPr>
      <w:r>
        <w:rPr>
          <w:rFonts w:ascii="Microsoft JhengHei" w:hAnsi="Microsoft JhengHei" w:eastAsia="Microsoft JhengHei"/>
          <w:color w:val="202938"/>
          <w:sz w:val="24"/>
        </w:rPr>
        <w:t>8. 跨文件責任及負向近鄰</w:t>
      </w:r>
    </w:p>
    <w:tbl>
      <w:tblPr>
        <w:tblStyle w:val="TableGrid"/>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3289"/>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文件</w:t>
            </w:r>
          </w:p>
        </w:tc>
        <w:tc>
          <w:tcPr>
            <w:tcW w:type="dxa" w:w="3289"/>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專屬責任</w:t>
            </w:r>
          </w:p>
        </w:tc>
        <w:tc>
          <w:tcPr>
            <w:tcW w:type="dxa" w:w="3289"/>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本報告的界線</w:t>
            </w:r>
          </w:p>
        </w:tc>
      </w:tr>
      <w:tr>
        <w:trPr>
          <w:cantSplit/>
        </w:trPr>
        <w:tc>
          <w:tcPr>
            <w:tcW w:type="dxa" w:w="3289"/>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0003／I01-E02 問卷</w:t>
            </w:r>
          </w:p>
        </w:tc>
        <w:tc>
          <w:tcPr>
            <w:tcW w:type="dxa" w:w="3289"/>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題目、選項、量尺、單筆示例回答（F0092）</w:t>
            </w:r>
          </w:p>
        </w:tc>
        <w:tc>
          <w:tcPr>
            <w:tcW w:type="dxa" w:w="3289"/>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只引用有限訊號，不另做問卷或量尺</w:t>
            </w:r>
          </w:p>
        </w:tc>
      </w:tr>
      <w:tr>
        <w:trPr>
          <w:cantSplit/>
        </w:trPr>
        <w:tc>
          <w:tcPr>
            <w:tcW w:type="dxa" w:w="3289"/>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0004／I01-E02 執行與樣本紀錄</w:t>
            </w:r>
          </w:p>
        </w:tc>
        <w:tc>
          <w:tcPr>
            <w:tcW w:type="dxa" w:w="3289"/>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邀請、同意、回收、有效性、排除及交接（F0093）</w:t>
            </w:r>
          </w:p>
        </w:tc>
        <w:tc>
          <w:tcPr>
            <w:tcW w:type="dxa" w:w="3289"/>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不宣稱調查已實際執行，不複製其樣本流向數字</w:t>
            </w:r>
          </w:p>
        </w:tc>
      </w:tr>
      <w:tr>
        <w:trPr>
          <w:cantSplit/>
        </w:trPr>
        <w:tc>
          <w:tcPr>
            <w:tcW w:type="dxa" w:w="3289"/>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0005／I01-E02 需求分析報告</w:t>
            </w:r>
          </w:p>
        </w:tc>
        <w:tc>
          <w:tcPr>
            <w:tcW w:type="dxa" w:w="3289"/>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調查彙整及逐題需求分析（F0094）</w:t>
            </w:r>
          </w:p>
        </w:tc>
        <w:tc>
          <w:tcPr>
            <w:tcW w:type="dxa" w:w="3289"/>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不把 0005 當已接受來源；本件比較產品／流程，不取代需求分析</w:t>
            </w:r>
          </w:p>
        </w:tc>
      </w:tr>
      <w:tr>
        <w:trPr>
          <w:cantSplit/>
        </w:trPr>
        <w:tc>
          <w:tcPr>
            <w:tcW w:type="dxa" w:w="3289"/>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0006／I01-E03 業務發展計畫與人力資源訓練規劃</w:t>
            </w:r>
          </w:p>
        </w:tc>
        <w:tc>
          <w:tcPr>
            <w:tcW w:type="dxa" w:w="3289"/>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業務方向及人力資源訓練規劃（F0095）</w:t>
            </w:r>
          </w:p>
        </w:tc>
        <w:tc>
          <w:tcPr>
            <w:tcW w:type="dxa" w:w="3289"/>
            <w:vAlign w:val="center"/>
            <w:tcMar>
              <w:top w:w="100" w:type="dxa"/>
              <w:start w:w="110" w:type="dxa"/>
              <w:bottom w:w="100" w:type="dxa"/>
              <w:end w:w="110" w:type="dxa"/>
            </w:tcMar>
            <w:shd w:fill="F1F5F9"/>
          </w:tcPr>
          <w:p>
            <w:pPr>
              <w:spacing w:after="0" w:line="247" w:lineRule="auto"/>
            </w:pPr>
            <w:r>
              <w:rPr>
                <w:sz w:val="19"/>
              </w:rPr>
            </w:r>
            <w:r>
              <w:rPr>
                <w:rFonts w:ascii="Microsoft JhengHei" w:hAnsi="Microsoft JhengHei" w:eastAsia="Microsoft JhengHei"/>
                <w:color w:val="202938"/>
                <w:sz w:val="19"/>
              </w:rPr>
              <w:t>不決定機構策略、人力配置或年度經營目標</w:t>
            </w:r>
          </w:p>
        </w:tc>
      </w:tr>
      <w:tr>
        <w:trPr>
          <w:cantSplit/>
        </w:trPr>
        <w:tc>
          <w:tcPr>
            <w:tcW w:type="dxa" w:w="3289"/>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0008／I01-E05 各類別訓練課程年度成長計畫</w:t>
            </w:r>
          </w:p>
        </w:tc>
        <w:tc>
          <w:tcPr>
            <w:tcW w:type="dxa" w:w="3289"/>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類別年度成長目標與資源路徑（F0096）</w:t>
            </w:r>
          </w:p>
        </w:tc>
        <w:tc>
          <w:tcPr>
            <w:tcW w:type="dxa" w:w="3289"/>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檢視產品／流程，不提出年度班次、招生或成長承諾</w:t>
            </w:r>
          </w:p>
        </w:tc>
      </w:tr>
    </w:tbl>
    <w:p>
      <w:pPr>
        <w:spacing w:after="20"/>
      </w:pPr>
    </w:p>
    <w:p>
      <w:r>
        <w:rPr>
          <w:rFonts w:ascii="Microsoft JhengHei" w:hAnsi="Microsoft JhengHei" w:eastAsia="Microsoft JhengHei"/>
          <w:b/>
          <w:color w:val="202938"/>
          <w:sz w:val="21"/>
        </w:rPr>
        <w:t>標題盲辨識：</w:t>
      </w:r>
      <w:r>
        <w:rPr>
          <w:rFonts w:ascii="Microsoft JhengHei" w:hAnsi="Microsoft JhengHei" w:eastAsia="Microsoft JhengHei"/>
          <w:color w:val="202938"/>
          <w:sz w:val="21"/>
        </w:rPr>
        <w:t xml:space="preserve"> 遮蔽標題及檔名後，正文仍以產品方案、生命週期檢核、加權比較、證據限制及修正閉環直接辨識為課程產品／流程分析（第 1、3–7 節），不會被誤認為問卷、樣本執行、業務計畫或年度成長計畫（F0063）。</w:t>
      </w:r>
    </w:p>
    <w:p>
      <w:pPr>
        <w:pStyle w:val="Heading2"/>
      </w:pPr>
      <w:r>
        <w:rPr>
          <w:rFonts w:ascii="Microsoft JhengHei" w:hAnsi="Microsoft JhengHei" w:eastAsia="Microsoft JhengHei"/>
          <w:color w:val="202938"/>
          <w:sz w:val="24"/>
        </w:rPr>
        <w:t>9. 真實替換與使用限制</w:t>
      </w:r>
    </w:p>
    <w:p>
      <w:r>
        <w:rPr>
          <w:rFonts w:ascii="Microsoft JhengHei" w:hAnsi="Microsoft JhengHei" w:eastAsia="Microsoft JhengHei"/>
          <w:color w:val="202938"/>
          <w:sz w:val="21"/>
        </w:rPr>
        <w:t xml:space="preserve">同一候選證據包中的 SYNTHETIC_REPLACEMENT_REGISTER_0007_R12.csv 是本候選專屬逐事實清冊：每列一個值、唯一鍵、精確章節／表格／欄位定位、生成或引用方式、需取得的真實原件、替換／覆核法及 </w:t>
      </w:r>
      <w:r>
        <w:rPr>
          <w:rFonts w:ascii="Consolas" w:hAnsi="Consolas" w:eastAsia="Consolas"/>
          <w:color w:val="214A70"/>
          <w:sz w:val="21"/>
        </w:rPr>
        <w:t>SAMPLE_SYNTHETIC_ONLY</w:t>
      </w:r>
      <w:r>
        <w:rPr>
          <w:rFonts w:ascii="Microsoft JhengHei" w:hAnsi="Microsoft JhengHei" w:eastAsia="Microsoft JhengHei"/>
          <w:color w:val="202938"/>
          <w:sz w:val="21"/>
        </w:rPr>
        <w:t xml:space="preserve"> 狀態；不代表更新中央共享登錄。</w:t>
      </w:r>
    </w:p>
    <w:p>
      <w:r>
        <w:rPr>
          <w:rFonts w:ascii="Microsoft JhengHei" w:hAnsi="Microsoft JhengHei" w:eastAsia="Microsoft JhengHei"/>
          <w:color w:val="202938"/>
          <w:sz w:val="21"/>
        </w:rPr>
        <w:t>升格為 REAL 前，逐項取得合法可核對的實際課程版本、核定目的與對象、執行流程、角色權限、課程材料、出席／練習、回饋原件、改善前後版本、日期及決定紀錄。來源缺失或無法定位時保留 SAMPLE／UNKNOWN，不以候選來源包或本稿數字填補實績。</w:t>
      </w:r>
    </w:p>
    <w:p>
      <w:pPr>
        <w:pStyle w:val="Heading2"/>
      </w:pPr>
      <w:r>
        <w:rPr>
          <w:rFonts w:ascii="Microsoft JhengHei" w:hAnsi="Microsoft JhengHei" w:eastAsia="Microsoft JhengHei"/>
          <w:color w:val="202938"/>
          <w:sz w:val="24"/>
        </w:rPr>
        <w:t>10. 官方要求—結果—位置—覆核</w:t>
      </w:r>
    </w:p>
    <w:tbl>
      <w:tblPr>
        <w:tblStyle w:val="TableGrid"/>
        <w:tblW w:type="auto" w:w="0"/>
        <w:jc w:val="center"/>
        <w:tblLayout w:type="fixed"/>
        <w:tblLook w:firstColumn="1" w:firstRow="1" w:lastColumn="0" w:lastRow="0" w:noHBand="0" w:noVBand="1" w:val="04A0"/>
      </w:tblPr>
      <w:tblGrid>
        <w:gridCol w:w="2067"/>
        <w:gridCol w:w="2866"/>
        <w:gridCol w:w="2067"/>
        <w:gridCol w:w="2866"/>
      </w:tblGrid>
      <w:tr>
        <w:trPr>
          <w:cantSplit/>
          <w:tblHeader w:val="true"/>
        </w:trPr>
        <w:tc>
          <w:tcPr>
            <w:tcW w:type="dxa" w:w="2067"/>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官方要求</w:t>
            </w:r>
          </w:p>
        </w:tc>
        <w:tc>
          <w:tcPr>
            <w:tcW w:type="dxa" w:w="2866"/>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對應結果</w:t>
            </w:r>
          </w:p>
        </w:tc>
        <w:tc>
          <w:tcPr>
            <w:tcW w:type="dxa" w:w="2067"/>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精確位置</w:t>
            </w:r>
          </w:p>
        </w:tc>
        <w:tc>
          <w:tcPr>
            <w:tcW w:type="dxa" w:w="2866"/>
            <w:vAlign w:val="center"/>
            <w:tcMar>
              <w:top w:w="100" w:type="dxa"/>
              <w:start w:w="110" w:type="dxa"/>
              <w:bottom w:w="100" w:type="dxa"/>
              <w:end w:w="110" w:type="dxa"/>
            </w:tcMar>
            <w:shd w:fill="183B63"/>
          </w:tcPr>
          <w:p>
            <w:pPr>
              <w:spacing w:after="0" w:line="247" w:lineRule="auto"/>
            </w:pPr>
            <w:r>
              <w:rPr>
                <w:b/>
                <w:color w:val="FFFFFF"/>
                <w:sz w:val="19"/>
              </w:rPr>
            </w:r>
            <w:r>
              <w:rPr>
                <w:rFonts w:ascii="Microsoft JhengHei" w:hAnsi="Microsoft JhengHei" w:eastAsia="Microsoft JhengHei"/>
                <w:b/>
                <w:color w:val="FFFFFF"/>
                <w:sz w:val="19"/>
              </w:rPr>
              <w:t>覆核及限制</w:t>
            </w:r>
          </w:p>
        </w:tc>
      </w:tr>
      <w:tr>
        <w:trPr>
          <w:cantSplit/>
        </w:trPr>
        <w:tc>
          <w:tcPr>
            <w:tcW w:type="dxa" w:w="2067"/>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課程產品及流程的檢討分析。</w:t>
            </w:r>
          </w:p>
        </w:tc>
        <w:tc>
          <w:tcPr>
            <w:tcW w:type="dxa" w:w="2866"/>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三方案比較、加權算式、設計完整度及生命週期證據狀態／門檻</w:t>
            </w:r>
          </w:p>
        </w:tc>
        <w:tc>
          <w:tcPr>
            <w:tcW w:type="dxa" w:w="2067"/>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第 1、3–4、6–7 節</w:t>
            </w:r>
          </w:p>
        </w:tc>
        <w:tc>
          <w:tcPr>
            <w:tcW w:type="dxa" w:w="2866"/>
            <w:vAlign w:val="center"/>
            <w:tcMar>
              <w:top w:w="100" w:type="dxa"/>
              <w:start w:w="110" w:type="dxa"/>
              <w:bottom w:w="100" w:type="dxa"/>
              <w:end w:w="110" w:type="dxa"/>
            </w:tcMar>
          </w:tcPr>
          <w:p>
            <w:pPr>
              <w:spacing w:after="0" w:line="247" w:lineRule="auto"/>
            </w:pPr>
            <w:r>
              <w:rPr>
                <w:sz w:val="19"/>
              </w:rPr>
            </w:r>
            <w:r>
              <w:rPr>
                <w:rFonts w:ascii="Microsoft JhengHei" w:hAnsi="Microsoft JhengHei" w:eastAsia="Microsoft JhengHei"/>
                <w:color w:val="202938"/>
                <w:sz w:val="19"/>
              </w:rPr>
              <w:t>獨立覆核者重算公式並逐列核 CSV；全部仍是 SAMPLE，無正式接受或 REAL 證據</w:t>
            </w:r>
          </w:p>
        </w:tc>
      </w:tr>
    </w:tbl>
    <w:p>
      <w:pPr>
        <w:spacing w:after="20"/>
      </w:pPr>
    </w:p>
    <w:sectPr w:rsidR="00FC693F" w:rsidRPr="0006063C" w:rsidSect="00034616">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B6573"/>
        <w:sz w:val="17"/>
      </w:rPr>
      <w:t xml:space="preserve">SAMPLE / SYNTHETIC  •  非正式接受  |  第 </w:t>
    </w:r>
    <w:r>
      <w:rPr>
        <w:rFonts w:ascii="Microsoft JhengHei" w:hAnsi="Microsoft JhengHei" w:eastAsia="Microsoft JhengHei"/>
        <w:color w:val="5B6573"/>
        <w:sz w:val="17"/>
      </w:rPr>
      <w:fldChar w:fldCharType="begin"/>
      <w:instrText xml:space="preserve">PAGE</w:instrText>
      <w:fldChar w:fldCharType="separate"/>
      <w:t>1</w:t>
      <w:fldChar w:fldCharType="end"/>
    </w:r>
    <w:r>
      <w:rPr>
        <w:rFonts w:ascii="Microsoft JhengHei" w:hAnsi="Microsoft JhengHei" w:eastAsia="Microsoft JhengHei"/>
        <w:color w:val="5B6573"/>
        <w:sz w:val="17"/>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B6573"/>
        <w:sz w:val="17"/>
      </w:rPr>
      <w:t>屏東縣原始點關懷協會  |  0007 / I01-E04  |  CANDIDATE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2029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Microsoft JhengHei" w:hAnsi="Microsoft JhengHei" w:eastAsia="Microsoft JhengHei"/>
      <w:b/>
      <w:bCs/>
      <w:color w:val="183B63"/>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icrosoft JhengHei" w:hAnsi="Microsoft JhengHei" w:eastAsia="Microsoft JhengHei"/>
      <w:b/>
      <w:bCs/>
      <w:color w:val="183B63"/>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icrosoft JhengHei" w:hAnsi="Microsoft JhengHei" w:eastAsia="Microsoft JhengHei"/>
      <w:b/>
      <w:bCs/>
      <w:color w:val="183B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課程產品及流程檢討分析報告</dc:title>
  <dc:subject>TTQS ONE 0007 / I01-E04；SAMPLE / SYNTHETIC 候選文件</dc:subject>
  <dc:creator>屏東縣原始點關懷協會（候選示範文件；非正式核准）</dc:creator>
  <cp:keywords>TTQS, 0007, I01-E04, SAMPLE, SYNTHETIC, CANDIDATE</cp:keywords>
  <dc:description>Candidate R12; not formally accepted; synthetic demonstration only.</dc:description>
  <cp:lastModifiedBy/>
  <cp:revision>1</cp:revision>
  <dcterms:created xsi:type="dcterms:W3CDTF">2013-12-23T23:15:00Z</dcterms:created>
  <dcterms:modified xsi:type="dcterms:W3CDTF">2013-12-23T23:15:00Z</dcterms:modified>
  <cp:category/>
</cp:coreProperties>
</file>