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40" w:after="60" w:line="240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2"/>
        </w:rPr>
        <w:t>財務績效證據報告</w:t>
      </w:r>
    </w:p>
    <w:p>
      <w:pPr>
        <w:pStyle w:val="Title"/>
        <w:keepNext/>
        <w:widowControl/>
        <w:spacing w:before="0" w:after="100" w:line="245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44"/>
        </w:rPr>
        <w:t>組織近三年營業額與收入趨勢核對報告</w:t>
      </w: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目的：依連續年度財務資料核對營業額趨勢，並將營業額與其他收入分開呈現。</w:t>
      </w:r>
    </w:p>
    <w:p>
      <w:pPr>
        <w:keepNext w:val="0"/>
        <w:widowControl/>
        <w:spacing w:before="0" w:after="140" w:line="259" w:lineRule="auto"/>
      </w:pPr>
      <w:r>
        <w:rPr>
          <w:sz w:val="22"/>
        </w:rPr>
        <w:t>示範資料｜非本會實際紀錄。組織財務原件尚未提供，實際營業額趨勢目前未判定。</w:t>
      </w:r>
    </w:p>
    <w:p>
      <w:pPr/>
      <w:r>
        <w:rPr>
          <w:sz w:val="22"/>
        </w:rPr>
        <w:t>文件編號：TTQS-0142｜版本：1.0｜狀態：示範文件／未生效｜修訂日期：2026-10-03｜生效日期：未生效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tblHeader w:val="true"/>
        </w:trPr>
        <w:tc>
          <w:tcPr>
            <w:tcW w:type="dxa" w:w="208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快速閱讀</w:t>
            </w:r>
          </w:p>
        </w:tc>
        <w:tc>
          <w:tcPr>
            <w:tcW w:type="dxa" w:w="799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本報告說明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閱讀對象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執行人員、主管、財務資料保管者及評核閱讀者。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使用時點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年度結帳後整理評核佐證，或覆核近三個完整年度的收入趨勢時。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操作方式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取三個可比完整年度的正式財務原件，核對科目與單位，再按本文公式覆算。</w:t>
            </w:r>
          </w:p>
        </w:tc>
      </w:tr>
      <w:tr>
        <w:trPr>
          <w:cantSplit/>
        </w:trPr>
        <w:tc>
          <w:tcPr>
            <w:tcW w:type="dxa" w:w="208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輸出內容</w:t>
            </w:r>
          </w:p>
        </w:tc>
        <w:tc>
          <w:tcPr>
            <w:tcW w:type="dxa" w:w="799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年度營業額、其他收入、總收入、逐年增幅、來源定位、限制及覆核狀態。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目前結論</w:t>
            </w:r>
          </w:p>
        </w:tc>
        <w:tc>
          <w:tcPr>
            <w:tcW w:type="dxa" w:w="79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可用來源未含組織財報或收入明細原件；組織實際趨勢為「未判定」。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137C78"/>
                <w:sz w:val="20"/>
              </w:rPr>
              <w:t>官方要求來源基礎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官方勾選原文：組織近三年營業額持續成長。</w:t>
              <w:br/>
              <w:t>來源：TTQS查核佐證文件資料表（訓練機構版），第9頁。以上為要求原文引用，不代表已取得或核實組織財務原件。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本件只處理上述營業額趨勢核對。合成案例示範完整欄位、計算與判讀；正式實績須以組織可核對的財務原件替換後重算。</w:t>
      </w:r>
    </w:p>
    <w:p>
      <w:pPr>
        <w:keepNext w:val="0"/>
        <w:widowControl/>
        <w:spacing w:before="0" w:after="0" w:line="240" w:lineRule="auto"/>
      </w:pPr>
      <w:r>
        <w:rPr>
          <w:sz w:val="22"/>
        </w:rPr>
        <w:br w:type="page"/>
      </w: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1　責任、適用界線與核對路徑</w:t>
      </w: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核對範圍是三個連續且已完成結帳的年度。本文中的「營業額」須對應到組織正式財務資料內可跨年度比較的營業收入科目；在實際替換前，由具權限的財務資料保管者確認科目對照。不得把問卷、顧客滿意度或其他要求的資料當作營業額證據。</w:t>
      </w:r>
    </w:p>
    <w:p>
      <w:pPr>
        <w:keepNext w:val="0"/>
        <w:widowControl/>
        <w:spacing w:before="0" w:after="10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資料整理者負責從正式財務資料抄錄期間、科目、金額與位置；獨立覆核者重新計算增幅並確認原件、單位、科目及總額一致。真實姓名、職稱、日期與簽核只可由實際經手者如實記錄。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2　來源形成時點及納入規則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優先使用組織正式核准的年度財務報表；如有簽證或查核報告，連同報表及相關附註保存原件定位。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以收入明細、總帳或會計科目表確認營業收入的科目範圍；記錄幣別、單位、會計期間及採用的帳務基礎。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三年資料須使用一致口徑。若科目重分類、期間長短不一、單位不同或來源不完整，先記錄例外並取得可比數據，再作趨勢判定。</w:t>
      </w:r>
    </w:p>
    <w:p>
      <w:pPr>
        <w:pStyle w:val="ListBullet"/>
        <w:keepNext w:val="0"/>
        <w:widowControl/>
        <w:spacing w:before="0" w:after="60" w:line="254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來源定位須能由另一位覆核者調回原件，至少記錄文件名稱、年度、頁碼或科目列、組織核准的保存位置。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3　欄位定義與驗證責任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12"/>
      </w:tblGrid>
      <w:tr>
        <w:trPr>
          <w:tblHeader w:val="true"/>
        </w:trPr>
        <w:tc>
          <w:tcPr>
            <w:tcW w:type="dxa" w:w="316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欄位與定義</w:t>
            </w:r>
          </w:p>
        </w:tc>
        <w:tc>
          <w:tcPr>
            <w:tcW w:type="dxa" w:w="691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來源、填寫者及驗證規則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年度及期末日</w:t>
              <w:br/>
              <w:t>財報所列完整會計期間。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正式財報期間；整理者填列。覆核者確認三年度連續、均已結帳且比較期間一致。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幣別及單位</w:t>
              <w:br/>
              <w:t>原件的金額表示方式。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正式財報或附註；整理者照錄。覆核者確認全期一致；如換算，保留原值、換算依據與計算。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營業額</w:t>
              <w:br/>
              <w:t>經確認可代表營業收入的正式科目或科目彙總。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正式財報及收入明細；整理者照錄。覆核者對照科目表及總帳，確認三年歸類一致。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其他收入</w:t>
              <w:br/>
              <w:t>與營業額分列的其他收入金額。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正式財報及附註；整理者照錄。覆核者確認未重複併入營業額，並能勾稽總收入。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總收入</w:t>
              <w:br/>
              <w:t>依正式報表口徑呈現的收入總額。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正式財報及收入彙總；整理者填列。覆核者與報表總額勾稽；不得漏列其他收入科目。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年增率</w:t>
              <w:br/>
              <w:t>（本年營業額－前一年營業額）÷前一年營業額。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由已核實的年度金額計算；整理者計算，覆核者獨立重算。前一年基數須大於零；否則列明原因並標示不適用。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來源定位</w:t>
              <w:br/>
              <w:t>可回到原始財務證據的位置。</w:t>
            </w:r>
          </w:p>
        </w:tc>
        <w:tc>
          <w:tcPr>
            <w:tcW w:type="dxa" w:w="6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正式檔名、年度、頁碼、科目列及受控保存位置；整理者記錄。覆核者實際調閱並確認版本。</w:t>
            </w:r>
          </w:p>
        </w:tc>
      </w:tr>
      <w:tr>
        <w:trPr>
          <w:cantSplit/>
        </w:trPr>
        <w:tc>
          <w:tcPr>
            <w:tcW w:type="dxa" w:w="316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判定與例外</w:t>
              <w:br/>
              <w:t>逐年增減、限制及處置結果。</w:t>
            </w:r>
          </w:p>
        </w:tc>
        <w:tc>
          <w:tcPr>
            <w:tcW w:type="dxa" w:w="691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按完整、可比年度及計算結果判讀；覆核者確認每個比較區間及異常處理均有追蹤記錄。</w:t>
            </w:r>
          </w:p>
        </w:tc>
      </w:tr>
    </w:tbl>
    <w:p>
      <w:pPr>
        <w:pStyle w:val="Heading2"/>
        <w:keepNext/>
        <w:spacing w:before="160" w:after="80"/>
      </w:pPr>
      <w:r>
        <w:t>3.1 科目映射及納入判定</w:t>
      </w:r>
    </w:p>
    <w:p>
      <w:pPr>
        <w:keepNext/>
        <w:spacing w:before="0" w:after="100"/>
      </w:pPr>
      <w:r>
        <w:t>以下列名均為合成示例，不是本會總帳科目或已核定分類。取得真實財報、收入明細與科目表後，財務權責者須逐科目確認；未確認、期間不可比或限制未釐清時，REAL 一律 HOLD，不得採用示例分類。</w:t>
      </w:r>
    </w:p>
    <w:tbl>
      <w:tblPr>
        <w:tblStyle w:val="TableGrid"/>
        <w:tblW w:type="dxa" w:w="10123"/>
        <w:tblLayout w:type="fixed"/>
        <w:tblLook w:firstColumn="1" w:firstRow="1" w:lastColumn="0" w:lastRow="0" w:noHBand="0" w:noVBand="1" w:val="04A0"/>
      </w:tblPr>
      <w:tblGrid>
        <w:gridCol w:w="1803"/>
        <w:gridCol w:w="1179"/>
        <w:gridCol w:w="1387"/>
        <w:gridCol w:w="2288"/>
        <w:gridCol w:w="2357"/>
        <w:gridCol w:w="1109"/>
      </w:tblGrid>
      <w:tr>
        <w:trPr>
          <w:cantSplit/>
          <w:tblHeader w:val="true"/>
        </w:trPr>
        <w:tc>
          <w:tcPr>
            <w:tcW w:type="dxa" w:w="1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原帳科目（示例名）</w:t>
            </w:r>
          </w:p>
        </w:tc>
        <w:tc>
          <w:tcPr>
            <w:tcW w:type="dxa" w:w="117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分類</w:t>
            </w:r>
          </w:p>
        </w:tc>
        <w:tc>
          <w:tcPr>
            <w:tcW w:type="dxa" w:w="138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是否納入營業額</w:t>
            </w:r>
          </w:p>
        </w:tc>
        <w:tc>
          <w:tcPr>
            <w:tcW w:type="dxa" w:w="228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決定依據</w:t>
            </w:r>
          </w:p>
        </w:tc>
        <w:tc>
          <w:tcPr>
            <w:tcW w:type="dxa" w:w="235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權責確認</w:t>
            </w:r>
          </w:p>
        </w:tc>
        <w:tc>
          <w:tcPr>
            <w:tcW w:type="dxa" w:w="110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【SAMPLE】訓練服務收入（合成科目名）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服務收入（示例）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示例假設納入；REAL待核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僅假設為當期訓練服務對價；真實須核對報表列、總帳、明細、期間、退款及折讓。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REAL未核；財務權責者記科目/期間/日期，第二人獨立覆核；不得補造姓名。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【SAMPLE】捐助或政府補助（合成科目名）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其他收入（示例）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示例不納入；REAL待核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先核用途限制、核銷條件及會計政策；不得僅因收入增加併入營業額。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REAL未核；權責確認及覆核資料待真實作業留痕。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【SAMPLE】會員會費（合成科目名）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其他收入（示例）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示例不納入；REAL待核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按正式科目表及收入性質核對；分類不明先列例外。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REAL未核；權責確認及覆核資料待真實作業留痕。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【SAMPLE】利息收入（合成科目名）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其他收入（示例）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示例不納入；REAL待核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與服務收入分列，不得用總收入變動替代營業額趨勢。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REAL未核；權責確認及覆核資料待真實作業留痕。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【SAMPLE】代收／暫收款（合成科目名）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待判／代收性質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不納入；差異未解即HOLD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查交易本質、債權債務及正式入帳依據；不得將代收款視作服務收入。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REAL未核；須有原始交易與權責判定。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  <w:tr>
        <w:trPr>
          <w:cantSplit/>
        </w:trPr>
        <w:tc>
          <w:tcPr>
            <w:tcW w:type="dxa" w:w="1803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【SAMPLE】退款／折讓／沖銷（合成科目名）</w:t>
            </w:r>
          </w:p>
        </w:tc>
        <w:tc>
          <w:tcPr>
            <w:tcW w:type="dxa" w:w="117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營業額調整（示例）</w:t>
            </w:r>
          </w:p>
        </w:tc>
        <w:tc>
          <w:tcPr>
            <w:tcW w:type="dxa" w:w="138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按正式口徑調減；REAL待核</w:t>
            </w:r>
          </w:p>
        </w:tc>
        <w:tc>
          <w:tcPr>
            <w:tcW w:type="dxa" w:w="2288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須連回原服務收入及年度，按一致會計基礎處理，避免重複扣抵。</w:t>
            </w:r>
          </w:p>
        </w:tc>
        <w:tc>
          <w:tcPr>
            <w:tcW w:type="dxa" w:w="235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REAL未核；須留交易原件、調整理由及獨立覆核。</w:t>
            </w:r>
          </w:p>
        </w:tc>
        <w:tc>
          <w:tcPr>
            <w:tcW w:type="dxa" w:w="1109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R04 SAMPLE／未生效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40" w:lineRule="auto"/>
      </w:pPr>
      <w:r>
        <w:rPr>
          <w:sz w:val="22"/>
        </w:rPr>
      </w:r>
    </w:p>
    <w:p>
      <w:pPr>
        <w:pStyle w:val="Heading1"/>
        <w:keepNext/>
        <w:widowControl/>
        <w:spacing w:before="160" w:after="80" w:line="252" w:lineRule="auto"/>
      </w:pPr>
      <w:r>
        <w:t>4　完整合成核對示例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FF5D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8A4B08"/>
                <w:sz w:val="20"/>
              </w:rPr>
              <w:t>示例資料聲明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以下為完整合成資料集，只示範如何逐年核對與重算。示例假設「營業額」對應「服務收入」；這不是任何組織的真實科目、財報或會計結論。正式使用須以實際財報科目對照取代。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243447"/>
          <w:sz w:val="22"/>
        </w:rPr>
        <w:t>示例期間均為完整年度，幣別單位假設為新臺幣元。表內收入總額只按本示例列出的營業額及其他收入相加；真實報表如有其他收入項目，須一併勾稽正式總額。</w:t>
      </w:r>
    </w:p>
    <w:p>
      <w:pPr>
        <w:keepNext/>
      </w:pPr>
      <w:r>
        <w:rPr>
          <w:sz w:val="22"/>
        </w:rPr>
        <w:t>表5　完整三年度營業額與收入示例｜示例資料集 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987"/>
        <w:gridCol w:w="1987"/>
        <w:gridCol w:w="2016"/>
        <w:gridCol w:w="2304"/>
      </w:tblGrid>
      <w:tr>
        <w:trPr>
          <w:tblHeader w:val="true"/>
        </w:trPr>
        <w:tc>
          <w:tcPr>
            <w:tcW w:type="dxa" w:w="178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FFFFFF"/>
                <w:sz w:val="20"/>
              </w:rPr>
              <w:t>年度（期末）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</w:t>
              <w:br/>
              <w:t>新臺幣元</w:t>
            </w:r>
          </w:p>
        </w:tc>
        <w:tc>
          <w:tcPr>
            <w:tcW w:type="dxa" w:w="1987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其他收入</w:t>
              <w:br/>
              <w:t>新臺幣元</w:t>
            </w:r>
          </w:p>
        </w:tc>
        <w:tc>
          <w:tcPr>
            <w:tcW w:type="dxa" w:w="201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總收入</w:t>
              <w:br/>
              <w:t>新臺幣元</w:t>
            </w:r>
          </w:p>
        </w:tc>
        <w:tc>
          <w:tcPr>
            <w:tcW w:type="dxa" w:w="230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營業額年增率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1,200,000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280,000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1,480,000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基準年</w:t>
            </w:r>
          </w:p>
        </w:tc>
      </w:tr>
      <w:tr>
        <w:trPr>
          <w:cantSplit/>
        </w:trPr>
        <w:tc>
          <w:tcPr>
            <w:tcW w:type="dxa" w:w="178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2024年度</w:t>
              <w:br/>
              <w:t>12月31日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1,320,000</w:t>
            </w:r>
          </w:p>
        </w:tc>
        <w:tc>
          <w:tcPr>
            <w:tcW w:type="dxa" w:w="1987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260,000</w:t>
            </w:r>
          </w:p>
        </w:tc>
        <w:tc>
          <w:tcPr>
            <w:tcW w:type="dxa" w:w="201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1,580,000</w:t>
            </w:r>
          </w:p>
        </w:tc>
        <w:tc>
          <w:tcPr>
            <w:tcW w:type="dxa" w:w="230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2025年度</w:t>
              <w:br/>
              <w:t>12月31日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1,452,000</w:t>
            </w:r>
          </w:p>
        </w:tc>
        <w:tc>
          <w:tcPr>
            <w:tcW w:type="dxa" w:w="19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300,000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1,752,000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6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首年度判讀：2023年度為基準年，沒有前一期可供計算年增率。</w:t>
      </w:r>
    </w:p>
    <w:p>
      <w:pPr>
        <w:keepNext w:val="0"/>
        <w:widowControl/>
        <w:spacing w:before="0" w:after="40" w:line="259" w:lineRule="auto"/>
      </w:pPr>
      <w:r>
        <w:rPr>
          <w:rFonts w:ascii="Microsoft JhengHei" w:hAnsi="Microsoft JhengHei" w:eastAsia="Microsoft JhengHei"/>
          <w:b/>
          <w:i w:val="0"/>
          <w:color w:val="243447"/>
          <w:sz w:val="22"/>
        </w:rPr>
        <w:t>示例來源定位（本件內的合成列，並非外部原件）：</w:t>
      </w:r>
    </w:p>
    <w:p>
      <w:pPr>
        <w:keepNext/>
      </w:pPr>
      <w:r>
        <w:rPr>
          <w:sz w:val="22"/>
        </w:rPr>
        <w:t>表6　示例資料位置與覆核欄位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424"/>
      </w:tblGrid>
      <w:tr>
        <w:trPr>
          <w:tblHeader w:val="true"/>
        </w:trPr>
        <w:tc>
          <w:tcPr>
            <w:tcW w:type="dxa" w:w="1656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年度</w:t>
            </w:r>
          </w:p>
        </w:tc>
        <w:tc>
          <w:tcPr>
            <w:tcW w:type="dxa" w:w="842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color w:val="FFFFFF"/>
                <w:sz w:val="20"/>
              </w:rPr>
              <w:t>示例資料位置／覆核欄位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2023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第4節表5第2列（示例資料集 A；僅為合成示例）。覆核欄位：營業額與總收入按表列值算術勾稽；本年為基準年，年增率不適用。真實原件覆核：正式財報、收入明細／總帳原件及真實附件未提供。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</w:t>
            </w:r>
          </w:p>
        </w:tc>
        <w:tc>
          <w:tcPr>
            <w:tcW w:type="dxa" w:w="8424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第4節表5第3列（示例資料集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</w:t>
            </w:r>
          </w:p>
        </w:tc>
        <w:tc>
          <w:tcPr>
            <w:tcW w:type="dxa" w:w="84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第4節表5第4列（示例資料集 A；僅為合成示例）。覆核欄位：營業額、總收入及年增率按表列值重算一致。真實原件覆核：正式財報、收入明細／總帳原件及真實附件未提供。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示例分工：角色甲整理展示數值；角色乙獨立覆算。兩者均為合成角色，沒有真人簽核或實際財務審查。</w:t>
      </w: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4.1　逐步計算與示例判讀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120"/>
        <w:gridCol w:w="1728"/>
      </w:tblGrid>
      <w:tr>
        <w:trPr>
          <w:tblHeader w:val="true"/>
        </w:trPr>
        <w:tc>
          <w:tcPr>
            <w:tcW w:type="dxa" w:w="223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核對項目</w:t>
            </w:r>
          </w:p>
        </w:tc>
        <w:tc>
          <w:tcPr>
            <w:tcW w:type="dxa" w:w="612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逐步算式</w:t>
            </w:r>
          </w:p>
        </w:tc>
        <w:tc>
          <w:tcPr>
            <w:tcW w:type="dxa" w:w="172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結果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2024營業額年增率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(1,320,000 - 1,200,000) ÷ 1,200,000 × 100%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2025營業額年增率</w:t>
            </w:r>
          </w:p>
        </w:tc>
        <w:tc>
          <w:tcPr>
            <w:tcW w:type="dxa" w:w="61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(1,452,000 - 1,320,000) ÷ 1,320,000 × 100%</w:t>
            </w:r>
          </w:p>
        </w:tc>
        <w:tc>
          <w:tcPr>
            <w:tcW w:type="dxa" w:w="172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+10.00%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三年營業額累計變動</w:t>
            </w:r>
          </w:p>
        </w:tc>
        <w:tc>
          <w:tcPr>
            <w:tcW w:type="dxa" w:w="61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(1,452,000 - 1,200,000) ÷ 1,200,000 × 100%</w:t>
            </w:r>
          </w:p>
        </w:tc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+21.00%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三年總收入累計變動</w:t>
            </w:r>
          </w:p>
        </w:tc>
        <w:tc>
          <w:tcPr>
            <w:tcW w:type="dxa" w:w="61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(1,752,000 - 1,480,000) ÷ 1,480,000 × 100%</w:t>
            </w:r>
          </w:p>
        </w:tc>
        <w:tc>
          <w:tcPr>
            <w:tcW w:type="dxa" w:w="172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+18.38%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rFonts w:ascii="Microsoft JhengHei" w:hAnsi="Microsoft JhengHei" w:eastAsia="Microsoft JhengHei"/>
          <w:b w:val="0"/>
          <w:i w:val="0"/>
          <w:color w:val="586A7D"/>
          <w:sz w:val="22"/>
        </w:rPr>
        <w:t>算式覆核結果：本示例表列總額與增幅均可按展示數值重算一致；這是合成算例檢查，不是組織財務查核。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E8F4F1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widowControl/>
              <w:spacing w:before="0" w:after="6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137C78"/>
                <w:sz w:val="20"/>
              </w:rPr>
              <w:t>示例判定</w:t>
            </w:r>
          </w:p>
          <w:p>
            <w:pPr>
              <w:keepNext w:val="0"/>
              <w:widowControl/>
              <w:spacing w:before="0" w:after="0" w:line="252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在本組合成數值中，2024及2025營業額均高於前一年；三年營業額累計增加21.00%。按本文的逐年正增幅核對方法，算例符合持續成長的計算條件。此結論只描述示例，不能移作組織實績或外部財務證明。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0" w:line="240" w:lineRule="auto"/>
      </w:pPr>
      <w:r>
        <w:rPr>
          <w:sz w:val="22"/>
        </w:rPr>
        <w:br w:type="page"/>
      </w:r>
    </w:p>
    <w:p>
      <w:pPr>
        <w:pStyle w:val="Heading1"/>
        <w:keepNext/>
        <w:widowControl/>
        <w:spacing w:before="160" w:after="80" w:line="252" w:lineRule="auto"/>
      </w:pPr>
      <w:r>
        <w:rPr>
          <w:rFonts w:ascii="Microsoft JhengHei" w:hAnsi="Microsoft JhengHei" w:eastAsia="Microsoft JhengHei"/>
          <w:b/>
          <w:i w:val="0"/>
          <w:color w:val="203955"/>
          <w:sz w:val="30"/>
        </w:rPr>
        <w:t>5　證據限制、例外處理與追蹤</w:t>
      </w:r>
    </w:p>
    <w:p>
      <w:pPr>
        <w:keepNext w:val="0"/>
        <w:widowControl/>
        <w:spacing w:before="0" w:after="80" w:line="259" w:lineRule="auto"/>
      </w:pPr>
      <w:r>
        <w:rPr>
          <w:sz w:val="22"/>
        </w:rPr>
        <w:t>目前可用資料含官方要求文字及核對方法，未提供組織正式財報、收入明細／總帳原件或真實附件，也沒有可引用的真實檔名、頁碼或附件定位。因此組織近三年實際營業額趨勢為「未判定」。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3888"/>
        <w:gridCol w:w="3528"/>
      </w:tblGrid>
      <w:tr>
        <w:trPr>
          <w:tblHeader w:val="true"/>
        </w:trPr>
        <w:tc>
          <w:tcPr>
            <w:tcW w:type="dxa" w:w="2664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問題／目前狀態</w:t>
            </w:r>
          </w:p>
        </w:tc>
        <w:tc>
          <w:tcPr>
            <w:tcW w:type="dxa" w:w="388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修正或後續處理</w:t>
            </w:r>
          </w:p>
        </w:tc>
        <w:tc>
          <w:tcPr>
            <w:tcW w:type="dxa" w:w="352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覆核與追蹤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未附組織財務原件；組織實績維持「未判定」。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取得最近三個完整會計年度正式財報及可勾稽的收入明細；按正式科目與單位替換本報告示例數值及示例位置。</w:t>
            </w:r>
          </w:p>
        </w:tc>
        <w:tc>
          <w:tcPr>
            <w:tcW w:type="dxa" w:w="35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第二位具權限人員調閱原件，重算期間、分類、總額與每段年增率。保留取得日期、原件定位、差異及修正版本；原件取得前不得採用示例結論。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6　真實資料替換與升格條件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blHeader w:val="true"/>
        </w:trPr>
        <w:tc>
          <w:tcPr>
            <w:tcW w:type="dxa" w:w="2232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替換項目</w:t>
            </w:r>
          </w:p>
        </w:tc>
        <w:tc>
          <w:tcPr>
            <w:tcW w:type="dxa" w:w="7848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完成條件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三年度來源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以實際最近三個完整年度的正式財報取代示例；保留核准版本及可調閱的文件名稱、年度、頁碼或科目列。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科目與總額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由具權限財務資料保管者確認哪些正式科目構成營業額及總收入；與總帳、收入明細或報表附註勾稽。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期間、單位及公式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記錄實際期間、幣別、金額單位及帳務口徑；重算每一年度增幅與三年變動。基期為零或資料不可比時，說明限制，不套用一般增幅。</w:t>
            </w:r>
          </w:p>
        </w:tc>
      </w:tr>
      <w:tr>
        <w:trPr>
          <w:cantSplit/>
        </w:trPr>
        <w:tc>
          <w:tcPr>
            <w:tcW w:type="dxa" w:w="2232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分工及覆核</w:t>
            </w:r>
          </w:p>
        </w:tc>
        <w:tc>
          <w:tcPr>
            <w:tcW w:type="dxa" w:w="7848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以真實經手角色完成抄錄與獨立覆算；姓名、職務、日期、簽核只由本人按組織程序如實填寫。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保存及調閱</w:t>
            </w:r>
          </w:p>
        </w:tc>
        <w:tc>
          <w:tcPr>
            <w:tcW w:type="dxa" w:w="78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將核准原件與核對紀錄存於組織核准的受控位置，按既有權限保護及調閱；另保留修訂前後的差異軌跡。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pStyle w:val="Heading2"/>
        <w:keepNext/>
        <w:spacing w:before="160" w:after="80"/>
      </w:pPr>
      <w:r>
        <w:t>6.1 SAMPLE 逐項替換清冊</w:t>
      </w:r>
    </w:p>
    <w:p>
      <w:pPr>
        <w:keepNext/>
        <w:spacing w:before="0" w:after="100"/>
      </w:pPr>
      <w:r>
        <w:t>下列九筆只用於算式示範。每筆均須以授權取得的正式年度財報及收入明細／總帳定位替換，並記錄覆核狀態與實際替換日期；來源未取得時不得填成已完成。</w:t>
      </w:r>
    </w:p>
    <w:p>
      <w:pPr>
        <w:pStyle w:val="Caption"/>
        <w:keepNext/>
      </w:pPr>
      <w:r>
        <w:t>附表 A　SAMPLE 數值逐項替換清冊</w:t>
      </w:r>
    </w:p>
    <w:tbl>
      <w:tblPr>
        <w:tblStyle w:val="TableGrid"/>
        <w:tblW w:type="dxa" w:w="10123"/>
        <w:tblLayout w:type="fixed"/>
        <w:tblLook w:firstColumn="1" w:firstRow="1" w:lastColumn="0" w:lastRow="0" w:noHBand="0" w:noVBand="1" w:val="04A0"/>
      </w:tblPr>
      <w:tblGrid>
        <w:gridCol w:w="2297"/>
        <w:gridCol w:w="1482"/>
        <w:gridCol w:w="1156"/>
        <w:gridCol w:w="2297"/>
        <w:gridCol w:w="1556"/>
        <w:gridCol w:w="1334"/>
      </w:tblGrid>
      <w:tr>
        <w:trPr>
          <w:cantSplit/>
          <w:tblHeader w:val="true"/>
        </w:trPr>
        <w:tc>
          <w:tcPr>
            <w:tcW w:type="dxa" w:w="229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sample_fact_id</w:t>
            </w:r>
          </w:p>
        </w:tc>
        <w:tc>
          <w:tcPr>
            <w:tcW w:type="dxa" w:w="148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表／列／欄</w:t>
            </w:r>
          </w:p>
        </w:tc>
        <w:tc>
          <w:tcPr>
            <w:tcW w:type="dxa" w:w="11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2297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真實來源定位（待填）</w:t>
            </w:r>
          </w:p>
        </w:tc>
        <w:tc>
          <w:tcPr>
            <w:tcW w:type="dxa" w:w="1556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覆核狀態</w:t>
            </w:r>
          </w:p>
        </w:tc>
        <w:tc>
          <w:tcPr>
            <w:tcW w:type="dxa" w:w="1334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  <w:shd w:fill="203955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SYN-0142-I19-E32-2023-OPERATING_REVENUE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表5／2023／營業額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1,200,000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SYN-0142-I19-E32-2023-OTHER_INCOME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表5／2023／其他收入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280,000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SYN-0142-I19-E32-2023-TOTAL_INCOME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表5／2023／總收入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1,480,000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SYN-0142-I19-E32-2024-OPERATING_REVENUE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表5／2024／營業額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1,320,000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SYN-0142-I19-E32-2024-OTHER_INCOME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表5／2024／其他收入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260,000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SYN-0142-I19-E32-2024-TOTAL_INCOME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表5／2024／總收入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1,580,000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SYN-0142-I19-E32-2025-OPERATING_REVENUE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表5／2025／營業額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1,452,000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SYN-0142-I19-E32-2025-OTHER_INCOME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表5／2025／其他收入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300,000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  <w:tr>
        <w:trPr>
          <w:cantSplit/>
        </w:trPr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SYN-0142-I19-E32-2025-TOTAL_INCOME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表5／2025／總收入</w:t>
            </w:r>
          </w:p>
        </w:tc>
        <w:tc>
          <w:tcPr>
            <w:tcW w:type="dxa" w:w="11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1,752,000 TWD</w:t>
            </w:r>
          </w:p>
        </w:tc>
        <w:tc>
          <w:tcPr>
            <w:tcW w:type="dxa" w:w="2297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UNKNOWN；待填正式財報年度/頁碼/列、總帳科目及受控原件位置。</w:t>
            </w:r>
          </w:p>
        </w:tc>
        <w:tc>
          <w:tcPr>
            <w:tcW w:type="dxa" w:w="1556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SAMPLE/SYNTHETIC；REAL HOLD；未核</w:t>
            </w:r>
          </w:p>
        </w:tc>
        <w:tc>
          <w:tcPr>
            <w:tcW w:type="dxa" w:w="1334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未替換；待實際作業日期</w:t>
            </w:r>
          </w:p>
        </w:tc>
      </w:tr>
    </w:tbl>
    <w:p>
      <w:pPr>
        <w:pStyle w:val="Heading2"/>
        <w:keepNext/>
        <w:widowControl/>
        <w:spacing w:before="100" w:after="80" w:line="252" w:lineRule="auto"/>
      </w:pPr>
      <w:r>
        <w:rPr>
          <w:rFonts w:ascii="Microsoft JhengHei" w:hAnsi="Microsoft JhengHei" w:eastAsia="Microsoft JhengHei"/>
          <w:b/>
          <w:i w:val="0"/>
          <w:color w:val="137C78"/>
          <w:sz w:val="24"/>
        </w:rPr>
        <w:t>7　要求追溯、相鄰要求及文件保管</w:t>
      </w:r>
    </w:p>
    <w:p>
      <w:pPr>
        <w:keepNext/>
      </w:pPr>
      <w:r>
        <w:rPr>
          <w:sz w:val="22"/>
        </w:rPr>
        <w:t>表11　官方要求、欄位及證據位置追溯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560"/>
      </w:tblGrid>
      <w:tr>
        <w:trPr>
          <w:tblHeader w:val="true"/>
        </w:trPr>
        <w:tc>
          <w:tcPr>
            <w:tcW w:type="dxa" w:w="252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追溯事項</w:t>
            </w:r>
          </w:p>
        </w:tc>
        <w:tc>
          <w:tcPr>
            <w:tcW w:type="dxa" w:w="7560"/>
            <w:shd w:fill="2039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  <w:jc w:val="left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20"/>
              </w:rPr>
              <w:t>本件位置及判斷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官方原文及欄位對應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官方原文：「組織近三年營業額持續成長。」直接對應欄位：年度／期末日、營業額、年增率、來源定位及覆核欄位。示例證據位置為第4節表5第2至4列（年度、期末日、營業額及年增率）與表6第2至4列（示例位置、覆核結果），均屬「示例資料集 A」合成示例。組織正式財報、收入明細／總帳原件及真實附件未提供；不得以示例位置代替真實檔名、頁碼或附件定位。</w:t>
            </w:r>
          </w:p>
        </w:tc>
      </w:tr>
      <w:tr>
        <w:trPr>
          <w:cantSplit/>
        </w:trPr>
        <w:tc>
          <w:tcPr>
            <w:tcW w:type="dxa" w:w="252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資料、公式與結論</w:t>
            </w:r>
          </w:p>
        </w:tc>
        <w:tc>
          <w:tcPr>
            <w:tcW w:type="dxa" w:w="7560"/>
            <w:shd w:fill="F7F9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sz w:val="20"/>
              </w:rPr>
              <w:t>第3節欄位定義、第4節表5至表8完整示例及逐步算式；組織實績仍待真實原件替換後判定。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例外與真實替換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 w:val="0"/>
              <w:widowControl/>
              <w:spacing w:before="0" w:after="0" w:line="245" w:lineRule="auto"/>
            </w:pPr>
            <w:r>
              <w:rPr>
                <w:sz w:val="20"/>
              </w:rPr>
            </w:r>
            <w:r>
              <w:rPr>
                <w:rFonts w:ascii="Microsoft JhengHei" w:hAnsi="Microsoft JhengHei" w:eastAsia="Microsoft JhengHei"/>
                <w:b w:val="0"/>
                <w:i w:val="0"/>
                <w:color w:val="243447"/>
                <w:sz w:val="20"/>
              </w:rPr>
              <w:t>第5節列明目前缺證及追蹤；第6節列明取得原件後的完成條件。</w:t>
            </w:r>
          </w:p>
        </w:tc>
      </w:tr>
    </w:tbl>
    <w:p>
      <w:pPr>
        <w:keepNext w:val="0"/>
        <w:widowControl/>
        <w:spacing w:before="0" w:after="20" w:line="240" w:lineRule="auto"/>
      </w:pPr>
    </w:p>
    <w:p>
      <w:pPr>
        <w:keepNext w:val="0"/>
        <w:widowControl/>
        <w:spacing w:before="0" w:after="80" w:line="259" w:lineRule="auto"/>
      </w:pPr>
      <w:r>
        <w:rPr>
          <w:sz w:val="22"/>
        </w:rPr>
        <w:t>相鄰要求辨別：顧客滿意度趨勢須依問卷及滿意度分析資料另行核對，不由本報告的金額表取代；其他要求的事實或佐證也不由本件承接。</w:t>
      </w:r>
    </w:p>
    <w:p>
      <w:pPr>
        <w:keepNext w:val="0"/>
        <w:widowControl/>
        <w:spacing w:before="0" w:after="0" w:line="259" w:lineRule="auto"/>
      </w:pPr>
      <w:r>
        <w:rPr>
          <w:sz w:val="22"/>
        </w:rPr>
        <w:t>保管與附件：取得正式財報、收入明細／總帳原件及真實附件後，將原件定位及本報告修訂版一併保存於組織核准的受控位置，僅授權人員調閱。本文未附任何組織財務原件或真實附件；官方第9頁僅作文字引用，合成示例位置見第4節表5及表6。版本：1.0（示範文件，未生效）；修訂日期及生效狀態依首頁文件控制資訊，不代表財務資料日期、覆核或核准日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893" w:bottom="893" w:left="89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before="0" w:after="0" w:line="240" w:lineRule="auto"/>
      <w:jc w:val="center"/>
    </w:pPr>
    <w:r>
      <w:rPr>
        <w:rFonts w:ascii="Microsoft JhengHei" w:hAnsi="Microsoft JhengHei" w:eastAsia="Microsoft JhengHei"/>
        <w:b w:val="0"/>
        <w:i w:val="0"/>
        <w:color w:val="586A7D"/>
        <w:sz w:val="18"/>
      </w:rPr>
      <w:t>合成數值僅供流程示例，不代表組織實績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40" w:lineRule="auto"/>
      <w:jc w:val="right"/>
    </w:pPr>
    <w:r>
      <w:rPr>
        <w:rFonts w:ascii="Microsoft JhengHei" w:hAnsi="Microsoft JhengHei" w:eastAsia="Microsoft JhengHei"/>
        <w:b/>
        <w:i w:val="0"/>
        <w:color w:val="586A7D"/>
        <w:sz w:val="18"/>
      </w:rPr>
      <w:t>組織財務趨勢核對  |  SAMPLE/SYNTHETIC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039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37C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>
  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組織近三年營業額與收入趨勢核對報告</dc:title>
  <dc:subject>近三年營業額、收入及來源定位核對</dc:subject>
  <dc:creator/>
  <cp:keywords/>
  <dc:description/>
  <cp:lastModifiedBy/>
  <cp:revision>1</cp:revision>
  <dcterms:created xsi:type="dcterms:W3CDTF">2026-10-03T01:31:23Z</dcterms:created>
  <dcterms:modified xsi:type="dcterms:W3CDTF">2026-10-03T20:31:05Z</dcterms:modified>
  <cp:category/>
</cp:coreProperties>
</file>