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pStyle w:val="Heading2"/>
        <w:keepNext/>
        <w:spacing w:before="160" w:after="80"/>
      </w:pPr>
      <w:r>
        <w:t>3.1 科目映射及納入判定</w:t>
      </w:r>
    </w:p>
    <w:p>
      <w:pPr>
        <w:keepNext/>
        <w:spacing w:before="0" w:after="100"/>
      </w:pPr>
      <w:r>
        <w:t>以下列名均為合成示例，不是本會總帳科目或已核定分類。取得真實財報、收入明細與科目表後，財務權責者須逐科目確認；未確認、期間不可比或限制未釐清時，REAL 一律 HOLD，不得採用示例分類。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1803"/>
        <w:gridCol w:w="1179"/>
        <w:gridCol w:w="1387"/>
        <w:gridCol w:w="2288"/>
        <w:gridCol w:w="2357"/>
        <w:gridCol w:w="1109"/>
      </w:tblGrid>
      <w:tr>
        <w:trPr>
          <w:cantSplit/>
          <w:tblHeader w:val="true"/>
        </w:trPr>
        <w:tc>
          <w:tcPr>
            <w:tcW w:type="dxa" w:w="1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原帳科目（示例名）</w:t>
            </w:r>
          </w:p>
        </w:tc>
        <w:tc>
          <w:tcPr>
            <w:tcW w:type="dxa" w:w="11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  <w:tc>
          <w:tcPr>
            <w:tcW w:type="dxa" w:w="13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是否納入營業額</w:t>
            </w:r>
          </w:p>
        </w:tc>
        <w:tc>
          <w:tcPr>
            <w:tcW w:type="dxa" w:w="2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決定依據</w:t>
            </w:r>
          </w:p>
        </w:tc>
        <w:tc>
          <w:tcPr>
            <w:tcW w:type="dxa" w:w="235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權責確認</w:t>
            </w:r>
          </w:p>
        </w:tc>
        <w:tc>
          <w:tcPr>
            <w:tcW w:type="dxa" w:w="110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【SAMPLE】訓練服務收入（合成科目名）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服務收入（示例）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示例假設納入；REAL待核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僅假設為當期訓練服務對價；真實須核對報表列、總帳、明細、期間、退款及折讓。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REAL未核；財務權責者記科目/期間/日期，第二人獨立覆核；不得補造姓名。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【SAMPLE】捐助或政府補助（合成科目名）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先核用途限制、核銷條件及會計政策；不得僅因收入增加併入營業額。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【SAMPLE】會員會費（合成科目名）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按正式科目表及收入性質核對；分類不明先列例外。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【SAMPLE】利息收入（合成科目名）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與服務收入分列，不得用總收入變動替代營業額趨勢。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【SAMPLE】代收／暫收款（合成科目名）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待判／代收性質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不納入；差異未解即HOLD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查交易本質、債權債務及正式入帳依據；不得將代收款視作服務收入。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REAL未核；須有原始交易與權責判定。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【SAMPLE】退款／折讓／沖銷（合成科目名）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營業額調整（示例）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按正式口徑調減；REAL待核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須連回原服務收入及年度，按一致會計基礎處理，避免重複扣抵。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REAL未核；須留交易原件、調整理由及獨立覆核。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+18.38%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spacing w:before="160" w:after="80"/>
      </w:pPr>
      <w:r>
        <w:t>6.1 SAMPLE 逐項替換清冊</w:t>
      </w:r>
    </w:p>
    <w:p>
      <w:pPr>
        <w:keepNext/>
        <w:spacing w:before="0" w:after="100"/>
      </w:pPr>
      <w:r>
        <w:t>下列九筆只用於算式示範。每筆均須以授權取得的正式年度財報及收入明細／總帳定位替換，並記錄覆核狀態與實際替換日期；來源未取得時不得填成已完成。</w:t>
      </w:r>
    </w:p>
    <w:p>
      <w:pPr>
        <w:pStyle w:val="Caption"/>
        <w:keepNext/>
      </w:pPr>
      <w:r>
        <w:rPr>
          <w:sz w:val="21"/>
          <w:szCs w:val="21"/>
        </w:rPr>
        <w:t>附表 A　SAMPLE 數值逐項替換清冊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2297"/>
        <w:gridCol w:w="1482"/>
        <w:gridCol w:w="1156"/>
        <w:gridCol w:w="2297"/>
        <w:gridCol w:w="1556"/>
        <w:gridCol w:w="1334"/>
      </w:tblGrid>
      <w:tr>
        <w:trPr>
          <w:cantSplit/>
          <w:tblHeader w:val="true"/>
        </w:trPr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sample_fact_id</w:t>
            </w:r>
          </w:p>
        </w:tc>
        <w:tc>
          <w:tcPr>
            <w:tcW w:type="dxa" w:w="148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表／列／欄</w:t>
            </w:r>
          </w:p>
        </w:tc>
        <w:tc>
          <w:tcPr>
            <w:tcW w:type="dxa" w:w="1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真實來源定位（待填）</w:t>
            </w:r>
          </w:p>
        </w:tc>
        <w:tc>
          <w:tcPr>
            <w:tcW w:type="dxa" w:w="15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  <w:tc>
          <w:tcPr>
            <w:tcW w:type="dxa" w:w="13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260,000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1,580,000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1,752,000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</w:tbl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</w:pPr>
      <w:r>
        <w:t>7.1 相鄰要求辨別與文件保管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